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06" w:rsidRDefault="000C0E06" w:rsidP="000C0E06">
      <w:pPr>
        <w:ind w:right="-143"/>
        <w:jc w:val="center"/>
        <w:rPr>
          <w:b/>
          <w:sz w:val="28"/>
          <w:szCs w:val="28"/>
        </w:rPr>
      </w:pPr>
      <w:r w:rsidRPr="00875D97">
        <w:rPr>
          <w:b/>
          <w:sz w:val="28"/>
          <w:szCs w:val="28"/>
        </w:rPr>
        <w:t>Описание объекта закупки</w:t>
      </w:r>
    </w:p>
    <w:p w:rsidR="000C0E06" w:rsidRDefault="000C0E06" w:rsidP="000C0E06">
      <w:pPr>
        <w:keepNext/>
        <w:widowControl w:val="0"/>
        <w:rPr>
          <w:b/>
          <w:szCs w:val="28"/>
        </w:rPr>
      </w:pPr>
    </w:p>
    <w:p w:rsidR="000C0E06" w:rsidRPr="0066234F" w:rsidRDefault="000C0E06" w:rsidP="000C0E06">
      <w:pPr>
        <w:jc w:val="center"/>
        <w:rPr>
          <w:b/>
        </w:rPr>
      </w:pPr>
      <w:r w:rsidRPr="0066234F">
        <w:rPr>
          <w:b/>
        </w:rPr>
        <w:t xml:space="preserve">Поставка луп с подсветкой, электронных ручных </w:t>
      </w:r>
      <w:proofErr w:type="spellStart"/>
      <w:r w:rsidRPr="0066234F">
        <w:rPr>
          <w:b/>
        </w:rPr>
        <w:t>видеоувеличителей</w:t>
      </w:r>
      <w:proofErr w:type="spellEnd"/>
      <w:r w:rsidRPr="0066234F">
        <w:rPr>
          <w:b/>
        </w:rPr>
        <w:t xml:space="preserve"> для инвалидов г. Севастополя в 2018 г.</w:t>
      </w:r>
    </w:p>
    <w:p w:rsidR="000C0E06" w:rsidRPr="00ED1739" w:rsidRDefault="000C0E06" w:rsidP="000C0E06">
      <w:pPr>
        <w:keepNext/>
        <w:widowControl w:val="0"/>
        <w:jc w:val="center"/>
        <w:rPr>
          <w:b/>
        </w:rPr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t xml:space="preserve">Наименование </w:t>
      </w:r>
      <w:r>
        <w:rPr>
          <w:b/>
        </w:rPr>
        <w:t>и назначение товара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Pr="00ED1739" w:rsidRDefault="000C0E06" w:rsidP="000C0E06">
      <w:pPr>
        <w:ind w:firstLine="708"/>
        <w:jc w:val="both"/>
      </w:pPr>
      <w:r>
        <w:t>Э</w:t>
      </w:r>
      <w:r w:rsidRPr="00032ECF">
        <w:t xml:space="preserve">лектронный ручной </w:t>
      </w:r>
      <w:proofErr w:type="spellStart"/>
      <w:r w:rsidRPr="00032ECF">
        <w:t>видеоувеличитель</w:t>
      </w:r>
      <w:proofErr w:type="spellEnd"/>
      <w:r w:rsidRPr="00032ECF">
        <w:t xml:space="preserve">, электронный стационарный </w:t>
      </w:r>
      <w:proofErr w:type="spellStart"/>
      <w:r w:rsidRPr="00032ECF">
        <w:t>видеоувеличитель</w:t>
      </w:r>
      <w:proofErr w:type="spellEnd"/>
      <w:r w:rsidRPr="00032ECF">
        <w:t>, лупа с подсветкой</w:t>
      </w:r>
      <w:r>
        <w:t xml:space="preserve"> предназначены </w:t>
      </w:r>
      <w:r w:rsidRPr="00540B18">
        <w:t>для инвалидов (далее –получатели) в целях восстановления и/или компенсации ограничений их жизнедеятельности (в зависимости от потребности получателя).</w:t>
      </w:r>
    </w:p>
    <w:p w:rsidR="000C0E06" w:rsidRPr="00ED1739" w:rsidRDefault="000C0E06" w:rsidP="000C0E06">
      <w:pPr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t>Требования к качеству товара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Default="000C0E06" w:rsidP="000C0E06">
      <w:pPr>
        <w:ind w:firstLine="708"/>
        <w:jc w:val="both"/>
      </w:pPr>
      <w:r>
        <w:t>Изделия</w:t>
      </w:r>
      <w:r w:rsidRPr="004C0B02">
        <w:t xml:space="preserve"> должны </w:t>
      </w:r>
      <w:r>
        <w:t>соответствовать</w:t>
      </w:r>
      <w:r w:rsidRPr="004C0B02">
        <w:t xml:space="preserve"> требованиям</w:t>
      </w:r>
      <w:r>
        <w:t xml:space="preserve">, </w:t>
      </w:r>
      <w:r w:rsidRPr="004C0B02">
        <w:t>ГОСТ Р 51632-20</w:t>
      </w:r>
      <w:r>
        <w:t>14</w:t>
      </w:r>
      <w:r w:rsidRPr="004C0B02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</w:t>
      </w:r>
      <w:r>
        <w:t xml:space="preserve"> и</w:t>
      </w:r>
      <w:r w:rsidRPr="004C0B02">
        <w:t xml:space="preserve"> </w:t>
      </w:r>
      <w:r w:rsidRPr="006C50BB">
        <w:t>технических регламентов Таможенного союза</w:t>
      </w:r>
      <w:r w:rsidRPr="004C0B02">
        <w:t xml:space="preserve">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0C0E06" w:rsidRPr="00091D9C" w:rsidRDefault="000C0E06" w:rsidP="000C0E06">
      <w:pPr>
        <w:ind w:firstLine="708"/>
        <w:jc w:val="both"/>
      </w:pPr>
      <w:r w:rsidRPr="00091D9C">
        <w:t>Предлагаемые изделия, а также корпуса, органы управления, дисплеи и комплектующие предлагаемых изделий не должны иметь деформаций и механических повреждений (вмятин, разрывов, разрезов, царапин, трещин и т.п.), видимых невооруженным глазом,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0C0E06" w:rsidRPr="00091D9C" w:rsidRDefault="000C0E06" w:rsidP="000C0E06">
      <w:pPr>
        <w:ind w:firstLine="708"/>
        <w:jc w:val="both"/>
      </w:pPr>
      <w:r w:rsidRPr="00091D9C">
        <w:t>Изделия должны быть новыми (выпущены не ранее 201</w:t>
      </w:r>
      <w:r>
        <w:t>5</w:t>
      </w:r>
      <w:r w:rsidRPr="00091D9C">
        <w:t xml:space="preserve"> года), не бывшими в употреблении, не после ремонта, замены комплектующих, не прошедшими восстановление потребительских свойств, не выставочными экземплярами, не должны находиться в залоге, должны быть свободными от прав третьих лиц и таможенных обременений.</w:t>
      </w:r>
    </w:p>
    <w:p w:rsidR="000C0E06" w:rsidRPr="00091D9C" w:rsidRDefault="000C0E06" w:rsidP="000C0E06">
      <w:pPr>
        <w:ind w:firstLine="708"/>
        <w:jc w:val="both"/>
      </w:pPr>
      <w:r w:rsidRPr="00091D9C">
        <w:t>Изделия должны выпускаться серийно, промышленным способом, соответствовать требованиям государственных стандартов, технических условий при соблюдении условий транспортирования, хранения и эксплуатации.</w:t>
      </w:r>
    </w:p>
    <w:p w:rsidR="000C0E06" w:rsidRDefault="000C0E06" w:rsidP="000C0E06">
      <w:pPr>
        <w:ind w:firstLine="708"/>
        <w:jc w:val="both"/>
      </w:pPr>
      <w:r w:rsidRPr="00091D9C">
        <w:t>Изделия должны быть зарегистрированы и разрешены к применению на территории Российской Федерации.</w:t>
      </w:r>
    </w:p>
    <w:p w:rsidR="000C0E06" w:rsidRPr="00ED1739" w:rsidRDefault="000C0E06" w:rsidP="000C0E06">
      <w:pPr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t xml:space="preserve">Требования к техническим </w:t>
      </w:r>
      <w:r>
        <w:rPr>
          <w:b/>
        </w:rPr>
        <w:t xml:space="preserve">и функциональным </w:t>
      </w:r>
      <w:r w:rsidRPr="00ED1739">
        <w:rPr>
          <w:b/>
        </w:rPr>
        <w:t>характеристикам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Default="000C0E06" w:rsidP="000C0E06">
      <w:pPr>
        <w:widowControl w:val="0"/>
        <w:autoSpaceDE w:val="0"/>
        <w:ind w:firstLine="708"/>
        <w:jc w:val="both"/>
      </w:pPr>
      <w:r w:rsidRPr="001B09D9">
        <w:t>Элек</w:t>
      </w:r>
      <w:r>
        <w:t xml:space="preserve">тронный ручной </w:t>
      </w:r>
      <w:proofErr w:type="spellStart"/>
      <w:r>
        <w:t>видеоувеличитель</w:t>
      </w:r>
      <w:proofErr w:type="spellEnd"/>
      <w:r>
        <w:t xml:space="preserve"> (ЭРВУ) — портативное устройство со </w:t>
      </w:r>
      <w:r w:rsidRPr="001B09D9">
        <w:t>встрое</w:t>
      </w:r>
      <w:r>
        <w:t xml:space="preserve">нным дисплеем; предназначен для </w:t>
      </w:r>
      <w:r w:rsidRPr="001B09D9">
        <w:t xml:space="preserve">чтения плоскопечатного текста </w:t>
      </w:r>
      <w:r>
        <w:t xml:space="preserve">лицами с ограничениями по зрению (острота зрения </w:t>
      </w:r>
      <w:r w:rsidRPr="0006507D">
        <w:t>0,03 – 0,1</w:t>
      </w:r>
      <w:r>
        <w:t>)</w:t>
      </w:r>
      <w:r w:rsidRPr="001B09D9">
        <w:t xml:space="preserve">. Электронный ручной </w:t>
      </w:r>
      <w:proofErr w:type="spellStart"/>
      <w:r w:rsidRPr="001B09D9">
        <w:t>видеоувеличитель</w:t>
      </w:r>
      <w:proofErr w:type="spellEnd"/>
      <w:r w:rsidRPr="001B09D9">
        <w:t xml:space="preserve"> </w:t>
      </w:r>
      <w:r>
        <w:t xml:space="preserve">- </w:t>
      </w:r>
      <w:r w:rsidRPr="001B09D9">
        <w:t>это маленький, легкий, эргономичный, умещающийся в кармане или сумке аппарат, который должен обеспечивать инвалидам по зрению беспреп</w:t>
      </w:r>
      <w:r>
        <w:t>ятственный доступ к информации.</w:t>
      </w:r>
    </w:p>
    <w:p w:rsidR="000C0E06" w:rsidRDefault="000C0E06" w:rsidP="000C0E06">
      <w:pPr>
        <w:widowControl w:val="0"/>
        <w:autoSpaceDE w:val="0"/>
        <w:ind w:firstLine="708"/>
        <w:jc w:val="both"/>
      </w:pPr>
      <w:r w:rsidRPr="001B09D9">
        <w:t xml:space="preserve">Электронный стационарный </w:t>
      </w:r>
      <w:proofErr w:type="spellStart"/>
      <w:r w:rsidRPr="001B09D9">
        <w:t>видеоувеличитель</w:t>
      </w:r>
      <w:proofErr w:type="spellEnd"/>
      <w:r w:rsidRPr="001B09D9">
        <w:t xml:space="preserve"> </w:t>
      </w:r>
      <w:r>
        <w:t>(ЭСВУ) - э</w:t>
      </w:r>
      <w:r w:rsidRPr="001B09D9">
        <w:t xml:space="preserve">то устройство, предназначенное для чтения плоскопечатного текста, рассматривания мелких рисунков, заполнения и подписи документов, работы с калькулятором и др. </w:t>
      </w:r>
      <w:r w:rsidRPr="0006507D">
        <w:t>лицами с ограничениями по зрению</w:t>
      </w:r>
      <w:r w:rsidRPr="001B09D9">
        <w:t xml:space="preserve"> </w:t>
      </w:r>
      <w:r>
        <w:t xml:space="preserve">(острота зрения </w:t>
      </w:r>
      <w:r w:rsidRPr="0006507D">
        <w:t>от 0,03 до 0,2</w:t>
      </w:r>
      <w:r>
        <w:t>)</w:t>
      </w:r>
      <w:r w:rsidRPr="0006507D">
        <w:t xml:space="preserve"> </w:t>
      </w:r>
      <w:r w:rsidRPr="001B09D9">
        <w:t>посредством вывода на экран монитора увеличенного изображения в различных, комфортных для зрения конкретного пользователя, контрастных видеорежимах. Стационарная модель может использоваться как дома, так и на рабочем месте</w:t>
      </w:r>
      <w:r>
        <w:t>.</w:t>
      </w:r>
      <w:r w:rsidRPr="001B09D9">
        <w:t xml:space="preserve"> Устройство </w:t>
      </w:r>
      <w:r>
        <w:t xml:space="preserve">должно быть </w:t>
      </w:r>
      <w:r w:rsidRPr="001B09D9">
        <w:t>совместимо со всеми современными компьютерами и телевизорами.</w:t>
      </w:r>
    </w:p>
    <w:p w:rsidR="000C0E06" w:rsidRDefault="000C0E06" w:rsidP="000C0E06">
      <w:pPr>
        <w:widowControl w:val="0"/>
        <w:autoSpaceDE w:val="0"/>
        <w:ind w:firstLine="708"/>
        <w:jc w:val="both"/>
      </w:pPr>
      <w:r w:rsidRPr="00D855A1">
        <w:lastRenderedPageBreak/>
        <w:t>Специальные устройства для оптической коррекции слабов</w:t>
      </w:r>
      <w:r>
        <w:t>идения (электронно-оптические) должны соответствовать</w:t>
      </w:r>
      <w:r w:rsidRPr="00D855A1">
        <w:t xml:space="preserve">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</w:t>
      </w:r>
      <w:r>
        <w:t>.</w:t>
      </w:r>
    </w:p>
    <w:p w:rsidR="000C0E06" w:rsidRPr="00465983" w:rsidRDefault="000C0E06" w:rsidP="000C0E06">
      <w:pPr>
        <w:widowControl w:val="0"/>
        <w:autoSpaceDE w:val="0"/>
        <w:ind w:firstLine="708"/>
        <w:jc w:val="both"/>
      </w:pPr>
      <w:r w:rsidRPr="00465983">
        <w:t xml:space="preserve">Лупы с подсветкой предназначены для увеличения изображения инвалидам с остротой зрения не ниже 0,03. Предназначаются для непродолжительного использования в быту: чтения текстов, рассматривания схем, рисунков, наглядных пособий, для улучшения восприятия мелких объектов в домашних условиях и вне дома: ценников в магазине, просмотра номеров телефонной книги, счетов, рецептов и т.п. </w:t>
      </w:r>
    </w:p>
    <w:p w:rsidR="000C0E06" w:rsidRPr="00465983" w:rsidRDefault="000C0E06" w:rsidP="000C0E06">
      <w:pPr>
        <w:widowControl w:val="0"/>
        <w:autoSpaceDE w:val="0"/>
        <w:ind w:firstLine="708"/>
        <w:jc w:val="both"/>
      </w:pPr>
      <w:r w:rsidRPr="00465983">
        <w:t>Лупы с подсветкой должны иметь крышку для защиты от пыли и внешних повреждений, которая должна легко сниматься с линзы.</w:t>
      </w:r>
    </w:p>
    <w:p w:rsidR="000C0E06" w:rsidRPr="00465983" w:rsidRDefault="000C0E06" w:rsidP="000C0E06">
      <w:pPr>
        <w:widowControl w:val="0"/>
        <w:autoSpaceDE w:val="0"/>
        <w:ind w:firstLine="708"/>
        <w:jc w:val="both"/>
      </w:pPr>
      <w:r w:rsidRPr="00465983">
        <w:t>Лупы с подсветкой традиционно используются при необходимости дополнительного освещения в зависимости от условий применения и глазной патологии. Подсветка осуществляется с помощью батареек, расположенных в ручке корпуса. Светодиоды, используемые для освещения, имеют неограниченный срок эксплуатации.</w:t>
      </w:r>
    </w:p>
    <w:p w:rsidR="000C0E06" w:rsidRPr="00465983" w:rsidRDefault="000C0E06" w:rsidP="000C0E06">
      <w:pPr>
        <w:widowControl w:val="0"/>
        <w:autoSpaceDE w:val="0"/>
        <w:ind w:firstLine="708"/>
        <w:jc w:val="both"/>
      </w:pPr>
      <w:r w:rsidRPr="00465983">
        <w:t xml:space="preserve">Лупы должны соответствовать требованиям ГОСТ 25706-83 «Лупы. Типы, основные параметры. Общие технические требования», ГОСТ 11141-84 «Детали оптические. Классы чистоты поверхностей. Методы контроля». </w:t>
      </w:r>
    </w:p>
    <w:p w:rsidR="000C0E06" w:rsidRPr="00465983" w:rsidRDefault="000C0E06" w:rsidP="000C0E06">
      <w:pPr>
        <w:widowControl w:val="0"/>
        <w:autoSpaceDE w:val="0"/>
        <w:ind w:firstLine="708"/>
        <w:jc w:val="both"/>
      </w:pPr>
      <w:r w:rsidRPr="00465983">
        <w:t>Конструкция специальных устройств для оптической коррекции слабовидения должна обеспечивать простоту и удобство обращения с ними.</w:t>
      </w:r>
    </w:p>
    <w:p w:rsidR="000C0E06" w:rsidRDefault="000C0E06" w:rsidP="000C0E06">
      <w:pPr>
        <w:widowControl w:val="0"/>
        <w:autoSpaceDE w:val="0"/>
        <w:ind w:firstLine="708"/>
        <w:jc w:val="both"/>
      </w:pPr>
      <w:r w:rsidRPr="00465983">
        <w:t>Требования к техническим и функциональным характеристикам товара изложены в Таблице 1.</w:t>
      </w:r>
    </w:p>
    <w:p w:rsidR="000C0E06" w:rsidRDefault="000C0E06" w:rsidP="000C0E06">
      <w:pPr>
        <w:widowControl w:val="0"/>
        <w:shd w:val="clear" w:color="auto" w:fill="FFFFFF"/>
        <w:autoSpaceDE w:val="0"/>
        <w:ind w:firstLine="708"/>
        <w:jc w:val="both"/>
      </w:pPr>
    </w:p>
    <w:p w:rsidR="000C0E06" w:rsidRPr="00ED1739" w:rsidRDefault="000C0E06" w:rsidP="000C0E06">
      <w:pPr>
        <w:widowControl w:val="0"/>
        <w:autoSpaceDE w:val="0"/>
        <w:ind w:firstLine="708"/>
        <w:jc w:val="right"/>
      </w:pPr>
      <w: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5670"/>
        <w:gridCol w:w="1134"/>
      </w:tblGrid>
      <w:tr w:rsidR="000C0E06" w:rsidRPr="00482836" w:rsidTr="00AA174C">
        <w:tc>
          <w:tcPr>
            <w:tcW w:w="625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  <w:r w:rsidRPr="00482836">
              <w:rPr>
                <w:b/>
              </w:rPr>
              <w:t>№ п/п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C0E06" w:rsidRPr="00482836" w:rsidRDefault="000C0E06" w:rsidP="00AA174C">
            <w:pPr>
              <w:autoSpaceDN w:val="0"/>
              <w:snapToGrid w:val="0"/>
              <w:ind w:left="-113" w:right="-113"/>
              <w:jc w:val="center"/>
              <w:rPr>
                <w:b/>
              </w:rPr>
            </w:pPr>
            <w:r w:rsidRPr="00482836">
              <w:rPr>
                <w:b/>
              </w:rPr>
              <w:t xml:space="preserve">Вид ТСР </w:t>
            </w:r>
          </w:p>
          <w:p w:rsidR="000C0E06" w:rsidRPr="00482836" w:rsidRDefault="000C0E06" w:rsidP="00AA174C">
            <w:pPr>
              <w:autoSpaceDN w:val="0"/>
              <w:snapToGrid w:val="0"/>
              <w:ind w:left="-113" w:right="-113"/>
              <w:jc w:val="center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  <w:r w:rsidRPr="00482836">
              <w:rPr>
                <w:b/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  <w:r w:rsidRPr="00482836">
              <w:rPr>
                <w:b/>
                <w:bCs/>
              </w:rPr>
              <w:t xml:space="preserve">Кол-во, шт. </w:t>
            </w:r>
          </w:p>
        </w:tc>
      </w:tr>
      <w:tr w:rsidR="000C0E06" w:rsidRPr="00482836" w:rsidTr="00AA174C">
        <w:tc>
          <w:tcPr>
            <w:tcW w:w="625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  <w:r w:rsidRPr="00482836">
              <w:rPr>
                <w:b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0C0E06" w:rsidRPr="009B148C" w:rsidRDefault="000C0E06" w:rsidP="00AA174C">
            <w:pPr>
              <w:pStyle w:val="a5"/>
              <w:rPr>
                <w:rFonts w:ascii="Times New Roman" w:hAnsi="Times New Roman"/>
              </w:rPr>
            </w:pPr>
            <w:r w:rsidRPr="009B148C">
              <w:rPr>
                <w:rFonts w:ascii="Times New Roman" w:hAnsi="Times New Roman"/>
              </w:rPr>
              <w:t xml:space="preserve">Электронный ручной </w:t>
            </w:r>
            <w:proofErr w:type="spellStart"/>
            <w:r w:rsidRPr="009B148C">
              <w:rPr>
                <w:rFonts w:ascii="Times New Roman" w:hAnsi="Times New Roman"/>
              </w:rPr>
              <w:t>видеоувеличитель</w:t>
            </w:r>
            <w:proofErr w:type="spellEnd"/>
          </w:p>
          <w:p w:rsidR="000C0E06" w:rsidRPr="009B148C" w:rsidRDefault="000C0E06" w:rsidP="00AA17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06" w:rsidRPr="009B148C" w:rsidRDefault="000C0E06" w:rsidP="00AA174C">
            <w:pPr>
              <w:spacing w:line="246" w:lineRule="auto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Все органы управления ЭРВУ должны по цвету и тактильным обозначениям отличаться друг</w:t>
            </w:r>
            <w:r w:rsidRPr="009B148C">
              <w:rPr>
                <w:sz w:val="22"/>
                <w:szCs w:val="22"/>
              </w:rPr>
              <w:tab/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9B148C">
              <w:rPr>
                <w:sz w:val="22"/>
                <w:szCs w:val="22"/>
              </w:rPr>
              <w:t>друга. Тактильные обозначения должны быть выпуклыми.</w:t>
            </w:r>
          </w:p>
          <w:p w:rsidR="000C0E06" w:rsidRPr="009B148C" w:rsidRDefault="000C0E06" w:rsidP="00AA174C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Органы управления не должны располагаться в местах захвата аппарата пальцами. Питание от сети переменного тока при помощи сетевого адаптера и от встроенного аккумулятора или батареи. Время непрерывной работы от встроенного аккумулятора или батареи не менее 2-х часов. Наличие светодиодного индикатора заряда батареи. Наличие разъемов: для подключения сетевого адаптера, выход на наушники и внешнюю акустическую систему, слот для съёмной памяти.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Габаритные размеры: не более 140 х 75 х 35 (мм).</w:t>
            </w:r>
          </w:p>
          <w:p w:rsidR="000C0E06" w:rsidRPr="009B148C" w:rsidRDefault="000C0E06" w:rsidP="00AA174C">
            <w:pPr>
              <w:spacing w:after="2" w:line="244" w:lineRule="auto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Вес (без сетевого адаптера): не более 230 граммов. Комплект поставки:</w:t>
            </w:r>
          </w:p>
          <w:p w:rsidR="000C0E06" w:rsidRPr="009B148C" w:rsidRDefault="000C0E06" w:rsidP="00AA174C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электронный ручной видео-увеличитель со встроенным дисплеем;</w:t>
            </w:r>
          </w:p>
          <w:p w:rsidR="000C0E06" w:rsidRPr="009B148C" w:rsidRDefault="000C0E06" w:rsidP="00AA174C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плоскопечатное (крупным шрифтом) и звуковое (на </w:t>
            </w:r>
            <w:proofErr w:type="spellStart"/>
            <w:r w:rsidRPr="009B148C">
              <w:rPr>
                <w:sz w:val="22"/>
                <w:szCs w:val="22"/>
              </w:rPr>
              <w:t>флешкарте</w:t>
            </w:r>
            <w:proofErr w:type="spellEnd"/>
            <w:r w:rsidRPr="009B148C">
              <w:rPr>
                <w:sz w:val="22"/>
                <w:szCs w:val="22"/>
              </w:rPr>
              <w:t>) руководства по эксплуатации;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съёмная память объёмом не менее 2 </w:t>
            </w:r>
            <w:proofErr w:type="spellStart"/>
            <w:r w:rsidRPr="009B148C">
              <w:rPr>
                <w:sz w:val="22"/>
                <w:szCs w:val="22"/>
              </w:rPr>
              <w:t>Gb</w:t>
            </w:r>
            <w:proofErr w:type="spellEnd"/>
            <w:r w:rsidRPr="009B148C">
              <w:rPr>
                <w:sz w:val="22"/>
                <w:szCs w:val="22"/>
              </w:rPr>
              <w:t>;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головной телефон;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сетевой адаптер;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сумка с ремнём для переноски; - упаковочная коробка.</w:t>
            </w:r>
          </w:p>
        </w:tc>
        <w:tc>
          <w:tcPr>
            <w:tcW w:w="1134" w:type="dxa"/>
            <w:shd w:val="clear" w:color="auto" w:fill="auto"/>
          </w:tcPr>
          <w:p w:rsidR="000C0E06" w:rsidRPr="009B148C" w:rsidRDefault="000C0E06" w:rsidP="00AA174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30</w:t>
            </w:r>
          </w:p>
        </w:tc>
      </w:tr>
      <w:tr w:rsidR="000C0E06" w:rsidRPr="00482836" w:rsidTr="00AA174C">
        <w:tc>
          <w:tcPr>
            <w:tcW w:w="625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  <w:r w:rsidRPr="00482836">
              <w:rPr>
                <w:b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0C0E06" w:rsidRPr="009B148C" w:rsidRDefault="000C0E06" w:rsidP="00AA174C">
            <w:pPr>
              <w:pStyle w:val="a5"/>
              <w:rPr>
                <w:rFonts w:ascii="Times New Roman" w:hAnsi="Times New Roman"/>
              </w:rPr>
            </w:pPr>
            <w:r w:rsidRPr="009B148C">
              <w:rPr>
                <w:rFonts w:ascii="Times New Roman" w:hAnsi="Times New Roman"/>
              </w:rPr>
              <w:t xml:space="preserve">Электронный стационарный </w:t>
            </w:r>
            <w:proofErr w:type="spellStart"/>
            <w:r w:rsidRPr="009B148C">
              <w:rPr>
                <w:rFonts w:ascii="Times New Roman" w:hAnsi="Times New Roman"/>
              </w:rPr>
              <w:t>видеоувеличитель</w:t>
            </w:r>
            <w:proofErr w:type="spellEnd"/>
            <w:r w:rsidRPr="009B148C">
              <w:rPr>
                <w:rFonts w:ascii="Times New Roman" w:hAnsi="Times New Roman"/>
              </w:rPr>
              <w:t xml:space="preserve"> </w:t>
            </w:r>
          </w:p>
          <w:p w:rsidR="000C0E06" w:rsidRPr="009B148C" w:rsidRDefault="000C0E06" w:rsidP="00AA17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06" w:rsidRPr="009B148C" w:rsidRDefault="000C0E06" w:rsidP="00AA174C">
            <w:pPr>
              <w:spacing w:line="245" w:lineRule="auto"/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Электронный стационарный </w:t>
            </w:r>
            <w:proofErr w:type="spellStart"/>
            <w:r w:rsidRPr="009B148C">
              <w:rPr>
                <w:sz w:val="22"/>
                <w:szCs w:val="22"/>
              </w:rPr>
              <w:t>видеоувеличитель</w:t>
            </w:r>
            <w:proofErr w:type="spellEnd"/>
            <w:r w:rsidRPr="009B148C">
              <w:rPr>
                <w:sz w:val="22"/>
                <w:szCs w:val="22"/>
              </w:rPr>
              <w:t xml:space="preserve"> (ЭСВУ) должен обеспечивать слабовидящим пользователям с остротой зрения от 0,03 до 0,2 возможность чтения плоскопечатных текстов, рассматривания иллюстраций</w:t>
            </w:r>
            <w:r w:rsidRPr="009B148C">
              <w:rPr>
                <w:rFonts w:eastAsia="Arial"/>
                <w:sz w:val="22"/>
                <w:szCs w:val="22"/>
              </w:rPr>
              <w:t xml:space="preserve"> и </w:t>
            </w:r>
            <w:r w:rsidRPr="009B148C">
              <w:rPr>
                <w:rFonts w:eastAsia="Arial"/>
                <w:sz w:val="22"/>
                <w:szCs w:val="22"/>
              </w:rPr>
              <w:lastRenderedPageBreak/>
              <w:t>мелких объектов, писем и выполнения других ручных работ со зрительным контролем.</w:t>
            </w:r>
          </w:p>
          <w:p w:rsidR="000C0E06" w:rsidRPr="009B148C" w:rsidRDefault="000C0E06" w:rsidP="00AA174C">
            <w:pPr>
              <w:spacing w:after="2" w:line="244" w:lineRule="auto"/>
              <w:ind w:right="34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b/>
                <w:sz w:val="22"/>
                <w:szCs w:val="22"/>
              </w:rPr>
              <w:t>ЭСВУ должен иметь следующие технические и функциональные характеристики:</w:t>
            </w:r>
          </w:p>
          <w:p w:rsidR="000C0E06" w:rsidRPr="009B148C" w:rsidRDefault="000C0E06" w:rsidP="00AA174C">
            <w:pPr>
              <w:spacing w:after="2" w:line="244" w:lineRule="auto"/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Регулировка кратности увеличения в диапазоне не менее чем 2,8-70 крат с автоматической фокусировкой и отображением на экране установленной кратности увеличения. Возможность фиксации выбранной кратности увеличения. Локализация участка читаемого текста для последующего просмотра с заданным увеличением. Фиксация фокусировки в плоскости бумаги при письме. Включение/выключение устройства должно сопровождаться звуковым сигналом.</w:t>
            </w:r>
          </w:p>
          <w:p w:rsidR="000C0E06" w:rsidRPr="009B148C" w:rsidRDefault="000C0E06" w:rsidP="00AA174C">
            <w:pPr>
              <w:ind w:left="1"/>
              <w:jc w:val="both"/>
              <w:rPr>
                <w:rFonts w:eastAsia="Arial"/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 xml:space="preserve">Режимы отображения: естественной контрастности – цветной высококонтрастный для чтения текста, в том числе: черно-белый позитивный 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черно-белый негативный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цветовые сочетания текста и фона (не менее 15)</w:t>
            </w:r>
          </w:p>
          <w:p w:rsidR="000C0E06" w:rsidRPr="009B148C" w:rsidRDefault="000C0E06" w:rsidP="00AA174C">
            <w:pPr>
              <w:spacing w:after="2" w:line="244" w:lineRule="auto"/>
              <w:ind w:left="1" w:right="-108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фиксация изображения (стоп-кадр) регулировка яркости и контрастности изображения. Выделение читаемого участка текста при помощи горизонтальных линий с регулируемым расстоянием по вертикали.</w:t>
            </w:r>
          </w:p>
          <w:p w:rsidR="000C0E06" w:rsidRPr="009B148C" w:rsidRDefault="000C0E06" w:rsidP="00AA174C">
            <w:pPr>
              <w:spacing w:after="2" w:line="244" w:lineRule="auto"/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Жидкокристаллический монитор с диагональю не менее 24 дюймов, разрешающей способностью не менее 1920х1080, частотой обновления изображения не менее 60 Гц. Подключение к компьютеру, дополнительному внешнему монитору или видеопроектору через интерфейсы HDMI или DVI. Питание от сети переменного тока 100-240 В, 50 Гц.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Вес не более 20 кг.</w:t>
            </w:r>
          </w:p>
          <w:p w:rsidR="000C0E06" w:rsidRPr="009B148C" w:rsidRDefault="000C0E06" w:rsidP="00AA174C">
            <w:pPr>
              <w:ind w:left="33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b/>
                <w:sz w:val="22"/>
                <w:szCs w:val="22"/>
              </w:rPr>
              <w:t>Требования к конструкции и эргономике</w:t>
            </w:r>
          </w:p>
          <w:p w:rsidR="000C0E06" w:rsidRPr="009B148C" w:rsidRDefault="000C0E06" w:rsidP="00AA174C">
            <w:pPr>
              <w:spacing w:line="246" w:lineRule="auto"/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ЭСВУ должен быть выполнен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Все органы управления должны различаться по тактильным обозначениям.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Тактильные обозначения должны быть выпуклыми.</w:t>
            </w:r>
          </w:p>
          <w:p w:rsidR="000C0E06" w:rsidRPr="009B148C" w:rsidRDefault="000C0E06" w:rsidP="00AA174C">
            <w:pPr>
              <w:spacing w:after="2" w:line="244" w:lineRule="auto"/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 xml:space="preserve">Подвижный </w:t>
            </w:r>
            <w:proofErr w:type="spellStart"/>
            <w:r w:rsidRPr="009B148C">
              <w:rPr>
                <w:rFonts w:eastAsia="Arial"/>
                <w:sz w:val="22"/>
                <w:szCs w:val="22"/>
              </w:rPr>
              <w:t>двухкоординатный</w:t>
            </w:r>
            <w:proofErr w:type="spellEnd"/>
            <w:r w:rsidRPr="009B148C">
              <w:rPr>
                <w:rFonts w:eastAsia="Arial"/>
                <w:sz w:val="22"/>
                <w:szCs w:val="22"/>
              </w:rPr>
              <w:t xml:space="preserve"> столик с длиной не менее 430 мм и шириной не менее 410 мм.</w:t>
            </w:r>
          </w:p>
          <w:p w:rsidR="000C0E06" w:rsidRPr="009B148C" w:rsidRDefault="000C0E06" w:rsidP="00AA174C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 xml:space="preserve">Пределы перемещения столика с ограничением в крайних положениях: вперед-назад — не менее 260 мм влево-вправо — не менее 400 мм </w:t>
            </w:r>
          </w:p>
          <w:p w:rsidR="000C0E06" w:rsidRPr="009B148C" w:rsidRDefault="000C0E06" w:rsidP="00AA174C">
            <w:pPr>
              <w:spacing w:after="1" w:line="246" w:lineRule="auto"/>
              <w:ind w:right="619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Свободная высота над поверхностью столика — не менее 170 мм. Столик должен иметь на задней поверхности ограничитель для фиксации круглых предметов. Угол поворота монитора: влево-вправо — не менее 90 градусов в каждом направлении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вперед-назад — не менее 90 градусов</w:t>
            </w:r>
          </w:p>
          <w:p w:rsidR="000C0E06" w:rsidRPr="009B148C" w:rsidRDefault="000C0E06" w:rsidP="00AA174C">
            <w:pPr>
              <w:spacing w:after="2" w:line="244" w:lineRule="auto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Органы управления должны обеспечивать удобство пользования человеку с пониженным зрением, иметь крупные размеры и контрастные цвета.</w:t>
            </w:r>
          </w:p>
          <w:p w:rsidR="000C0E06" w:rsidRPr="009B148C" w:rsidRDefault="000C0E06" w:rsidP="00AA174C">
            <w:pPr>
              <w:ind w:left="2076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b/>
                <w:sz w:val="22"/>
                <w:szCs w:val="22"/>
              </w:rPr>
              <w:t>Комплект поставки: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 xml:space="preserve">Электронный стационарный </w:t>
            </w:r>
            <w:proofErr w:type="spellStart"/>
            <w:r w:rsidRPr="009B148C">
              <w:rPr>
                <w:rFonts w:eastAsia="Arial"/>
                <w:sz w:val="22"/>
                <w:szCs w:val="22"/>
              </w:rPr>
              <w:t>видеоувеличитель</w:t>
            </w:r>
            <w:proofErr w:type="spellEnd"/>
            <w:r w:rsidRPr="009B148C">
              <w:rPr>
                <w:rFonts w:eastAsia="Arial"/>
                <w:sz w:val="22"/>
                <w:szCs w:val="22"/>
              </w:rPr>
              <w:t xml:space="preserve"> - 1 шт.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Сетевой кабель - 1 шт.</w:t>
            </w:r>
          </w:p>
          <w:p w:rsidR="000C0E06" w:rsidRPr="009B148C" w:rsidRDefault="000C0E06" w:rsidP="00AA174C">
            <w:pPr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lastRenderedPageBreak/>
              <w:t>Руководство по эксплуатации и паспорт на русском языке - 1 шт.</w:t>
            </w:r>
          </w:p>
          <w:p w:rsidR="000C0E06" w:rsidRPr="009B148C" w:rsidRDefault="000C0E06" w:rsidP="00AA174C">
            <w:pPr>
              <w:ind w:left="1"/>
              <w:jc w:val="both"/>
              <w:rPr>
                <w:sz w:val="22"/>
                <w:szCs w:val="22"/>
              </w:rPr>
            </w:pPr>
            <w:r w:rsidRPr="009B148C">
              <w:rPr>
                <w:rFonts w:eastAsia="Arial"/>
                <w:sz w:val="22"/>
                <w:szCs w:val="22"/>
              </w:rPr>
              <w:t>Упаковочная коробка - 1 шт.</w:t>
            </w:r>
          </w:p>
        </w:tc>
        <w:tc>
          <w:tcPr>
            <w:tcW w:w="1134" w:type="dxa"/>
            <w:shd w:val="clear" w:color="auto" w:fill="auto"/>
          </w:tcPr>
          <w:p w:rsidR="000C0E06" w:rsidRPr="009B148C" w:rsidRDefault="000C0E06" w:rsidP="00AA174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lastRenderedPageBreak/>
              <w:t>7</w:t>
            </w:r>
          </w:p>
        </w:tc>
      </w:tr>
      <w:tr w:rsidR="000C0E06" w:rsidRPr="00482836" w:rsidTr="00AA174C">
        <w:tc>
          <w:tcPr>
            <w:tcW w:w="625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</w:p>
        </w:tc>
        <w:tc>
          <w:tcPr>
            <w:tcW w:w="2177" w:type="dxa"/>
            <w:shd w:val="clear" w:color="auto" w:fill="auto"/>
          </w:tcPr>
          <w:p w:rsidR="000C0E06" w:rsidRPr="009B148C" w:rsidRDefault="000C0E06" w:rsidP="00AA174C">
            <w:pPr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Лупа ручная, опорная, лупа с подсветкой с увеличением до 10 крат.</w:t>
            </w:r>
          </w:p>
          <w:p w:rsidR="000C0E06" w:rsidRPr="009B148C" w:rsidRDefault="000C0E06" w:rsidP="00AA17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0C0E06" w:rsidRPr="009B148C" w:rsidRDefault="000C0E06" w:rsidP="00AA174C">
            <w:pPr>
              <w:tabs>
                <w:tab w:val="num" w:pos="175"/>
              </w:tabs>
              <w:jc w:val="both"/>
              <w:rPr>
                <w:sz w:val="22"/>
                <w:szCs w:val="22"/>
                <w:u w:val="single"/>
              </w:rPr>
            </w:pPr>
            <w:r w:rsidRPr="009B148C">
              <w:rPr>
                <w:sz w:val="22"/>
                <w:szCs w:val="22"/>
                <w:u w:val="single"/>
              </w:rPr>
              <w:t>Технические характеристики: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Увеличение лупы не менее 10 крат. 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Размеры линзы 35 мм и более.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Линза лупы должна быть изготовлена из облегченного материала – тип РХМ и иметь асферическую поверхность.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Линза должна быть прочно закреплена в оправе.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Лупа должна обеспечивать четкое качество изображения на всем поле зрения. 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Поверхность линзы, оправы, светодиодов, корпуса луп не должна иметь царапин, вмятин и других дефектов.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Линза лупы должна быть доступна для очистки от загрязнений. Лупа должна иметь крышку для защиты от пыли и внешних повреждений, которая должна легко сниматься с линзы.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Подсветка лупы белого цвета должна обеспечиваться светодиодами, имеющими неограниченный срок службы.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 xml:space="preserve">Лупа должна обеспечивать равномерную освещенность по всей поверхности линзы, не менее 200 </w:t>
            </w:r>
            <w:proofErr w:type="spellStart"/>
            <w:r w:rsidRPr="009B148C">
              <w:rPr>
                <w:sz w:val="22"/>
                <w:szCs w:val="22"/>
              </w:rPr>
              <w:t>лк</w:t>
            </w:r>
            <w:proofErr w:type="spellEnd"/>
            <w:r w:rsidRPr="009B148C">
              <w:rPr>
                <w:sz w:val="22"/>
                <w:szCs w:val="22"/>
              </w:rPr>
              <w:t>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Питание подсветки должно осуществляться от элементов питания, расположенных в ручке корпуса.</w:t>
            </w:r>
          </w:p>
          <w:p w:rsidR="000C0E06" w:rsidRPr="009B148C" w:rsidRDefault="000C0E06" w:rsidP="00AA174C">
            <w:pPr>
              <w:tabs>
                <w:tab w:val="num" w:pos="175"/>
              </w:tabs>
              <w:ind w:firstLine="459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Включение подсветки должно осуществляться с помощью встроенного включателя.</w:t>
            </w:r>
          </w:p>
          <w:p w:rsidR="000C0E06" w:rsidRPr="009B148C" w:rsidRDefault="000C0E06" w:rsidP="00AA174C">
            <w:pPr>
              <w:tabs>
                <w:tab w:val="num" w:pos="175"/>
              </w:tabs>
              <w:jc w:val="both"/>
              <w:rPr>
                <w:sz w:val="22"/>
                <w:szCs w:val="22"/>
              </w:rPr>
            </w:pPr>
          </w:p>
          <w:p w:rsidR="000C0E06" w:rsidRPr="009B148C" w:rsidRDefault="000C0E06" w:rsidP="00AA174C">
            <w:pPr>
              <w:tabs>
                <w:tab w:val="num" w:pos="175"/>
              </w:tabs>
              <w:jc w:val="both"/>
              <w:rPr>
                <w:sz w:val="22"/>
                <w:szCs w:val="22"/>
                <w:u w:val="single"/>
              </w:rPr>
            </w:pPr>
            <w:r w:rsidRPr="009B148C">
              <w:rPr>
                <w:sz w:val="22"/>
                <w:szCs w:val="22"/>
                <w:u w:val="single"/>
              </w:rPr>
              <w:t>Требования к комплектности:</w:t>
            </w:r>
          </w:p>
          <w:p w:rsidR="000C0E06" w:rsidRPr="009B148C" w:rsidRDefault="000C0E06" w:rsidP="000C0E06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лупа;</w:t>
            </w:r>
          </w:p>
          <w:p w:rsidR="000C0E06" w:rsidRPr="009B148C" w:rsidRDefault="000C0E06" w:rsidP="000C0E06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упаковочная коробка;</w:t>
            </w:r>
          </w:p>
          <w:p w:rsidR="000C0E06" w:rsidRPr="009B148C" w:rsidRDefault="000C0E06" w:rsidP="000C0E06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элементы питания;</w:t>
            </w:r>
          </w:p>
          <w:p w:rsidR="000C0E06" w:rsidRDefault="000C0E06" w:rsidP="000C0E06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футляр;</w:t>
            </w:r>
          </w:p>
          <w:p w:rsidR="000C0E06" w:rsidRPr="009B148C" w:rsidRDefault="000C0E06" w:rsidP="000C0E06">
            <w:pPr>
              <w:numPr>
                <w:ilvl w:val="0"/>
                <w:numId w:val="2"/>
              </w:numPr>
              <w:ind w:left="34" w:firstLine="141"/>
              <w:jc w:val="both"/>
              <w:rPr>
                <w:b/>
                <w:bCs/>
                <w:sz w:val="22"/>
                <w:szCs w:val="22"/>
              </w:rPr>
            </w:pPr>
            <w:r w:rsidRPr="009B148C">
              <w:rPr>
                <w:sz w:val="22"/>
                <w:szCs w:val="22"/>
              </w:rPr>
              <w:t>инструкция по применению на русском языке с паспортом изделия и оформленным гарантийным талоном, дающим право на бесплатный ремонт (замену) изделия в течение гарантийного срока эксплуатации, с указанием адресов и телефонов специализированных сервисных центров</w:t>
            </w:r>
          </w:p>
        </w:tc>
        <w:tc>
          <w:tcPr>
            <w:tcW w:w="1134" w:type="dxa"/>
            <w:shd w:val="clear" w:color="auto" w:fill="auto"/>
          </w:tcPr>
          <w:p w:rsidR="000C0E06" w:rsidRPr="009B148C" w:rsidRDefault="000C0E06" w:rsidP="00AA174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B148C">
              <w:rPr>
                <w:b/>
                <w:sz w:val="22"/>
                <w:szCs w:val="22"/>
              </w:rPr>
              <w:t>52</w:t>
            </w:r>
          </w:p>
        </w:tc>
      </w:tr>
      <w:tr w:rsidR="000C0E06" w:rsidRPr="00482836" w:rsidTr="00AA174C">
        <w:tc>
          <w:tcPr>
            <w:tcW w:w="625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</w:rPr>
            </w:pPr>
          </w:p>
        </w:tc>
        <w:tc>
          <w:tcPr>
            <w:tcW w:w="2177" w:type="dxa"/>
            <w:shd w:val="clear" w:color="auto" w:fill="auto"/>
          </w:tcPr>
          <w:p w:rsidR="000C0E06" w:rsidRPr="00482836" w:rsidRDefault="000C0E06" w:rsidP="00AA174C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shd w:val="clear" w:color="auto" w:fill="auto"/>
          </w:tcPr>
          <w:p w:rsidR="000C0E06" w:rsidRPr="00482836" w:rsidRDefault="000C0E06" w:rsidP="00AA17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0E06" w:rsidRDefault="000C0E06" w:rsidP="00AA174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</w:tr>
    </w:tbl>
    <w:p w:rsidR="000C0E06" w:rsidRPr="00ED1739" w:rsidRDefault="000C0E06" w:rsidP="000C0E06">
      <w:pPr>
        <w:widowControl w:val="0"/>
        <w:shd w:val="clear" w:color="auto" w:fill="FFFFFF"/>
        <w:autoSpaceDE w:val="0"/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t>Требования к безопасности товара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Pr="00175675" w:rsidRDefault="000C0E06" w:rsidP="000C0E06">
      <w:pPr>
        <w:ind w:firstLine="708"/>
        <w:jc w:val="both"/>
      </w:pPr>
      <w:r>
        <w:t xml:space="preserve">Изделия </w:t>
      </w:r>
      <w:r w:rsidRPr="00175675">
        <w:t>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 ТР ТС 020/2011 «Электромагнитная совместимость технических средств».</w:t>
      </w:r>
    </w:p>
    <w:p w:rsidR="000C0E06" w:rsidRDefault="000C0E06" w:rsidP="000C0E06">
      <w:pPr>
        <w:ind w:firstLine="708"/>
        <w:jc w:val="both"/>
      </w:pPr>
      <w:r w:rsidRPr="00AB7EBF">
        <w:t>При использовании изделий по назначению не должно создаваться угрозы для жизни и здоровья потребителя</w:t>
      </w:r>
    </w:p>
    <w:p w:rsidR="000C0E06" w:rsidRPr="00ED1739" w:rsidRDefault="000C0E06" w:rsidP="000C0E06">
      <w:pPr>
        <w:ind w:firstLine="708"/>
        <w:jc w:val="both"/>
      </w:pPr>
      <w:r w:rsidRPr="00AB7EBF">
        <w:t xml:space="preserve">Сырье и материалы, применяемые для изготовления </w:t>
      </w:r>
      <w:r>
        <w:t>изделий</w:t>
      </w:r>
      <w:r w:rsidRPr="00AB7EBF">
        <w:t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поверхность, с которой контактируют те или иные детали изделия при его нормальной эксплуатации</w:t>
      </w:r>
      <w:r>
        <w:t>.</w:t>
      </w:r>
    </w:p>
    <w:p w:rsidR="000C0E06" w:rsidRPr="00ED1739" w:rsidRDefault="000C0E06" w:rsidP="000C0E06">
      <w:pPr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lastRenderedPageBreak/>
        <w:t>Требования к размерам, упаковке и отгрузке товара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Default="000C0E06" w:rsidP="000C0E06">
      <w:pPr>
        <w:ind w:firstLine="708"/>
        <w:jc w:val="both"/>
      </w:pPr>
      <w:r>
        <w:t xml:space="preserve">Маркировка, </w:t>
      </w:r>
      <w:r w:rsidRPr="006304F9">
        <w:t xml:space="preserve">упаковка </w:t>
      </w:r>
      <w:r>
        <w:t xml:space="preserve">транспортировка и хранение изделий должны осуществляться </w:t>
      </w:r>
      <w:r w:rsidRPr="006304F9">
        <w:t>в соответствии с требованиями ГОСТ 28594-90</w:t>
      </w:r>
      <w:r>
        <w:t xml:space="preserve"> «</w:t>
      </w:r>
      <w:r w:rsidRPr="00D51BA4">
        <w:t>Аппаратура радиоэлектронная бытовая. Упаковка, маркировка, транспортирование и хранение</w:t>
      </w:r>
      <w:r w:rsidRPr="006304F9">
        <w:t>.</w:t>
      </w:r>
    </w:p>
    <w:p w:rsidR="000C0E06" w:rsidRPr="006304F9" w:rsidRDefault="000C0E06" w:rsidP="000C0E06">
      <w:pPr>
        <w:ind w:firstLine="708"/>
        <w:jc w:val="both"/>
      </w:pPr>
      <w:r w:rsidRPr="006304F9">
        <w:t xml:space="preserve">Упаковка </w:t>
      </w:r>
      <w:r>
        <w:t>изделий</w:t>
      </w:r>
      <w:r w:rsidRPr="006304F9">
        <w:t xml:space="preserve"> должна обеспечивать их защиту от повреждений, порчи (изнашивания), загрязнения, а также от воздействия механических и климатических факторов во время хранения и транспортирования. Кажд</w:t>
      </w:r>
      <w:r>
        <w:t>ое</w:t>
      </w:r>
      <w:r w:rsidRPr="006304F9">
        <w:t xml:space="preserve"> </w:t>
      </w:r>
      <w:r>
        <w:t>изделие</w:t>
      </w:r>
      <w:r w:rsidRPr="006304F9">
        <w:t xml:space="preserve"> долж</w:t>
      </w:r>
      <w:r>
        <w:t>но</w:t>
      </w:r>
      <w:r w:rsidRPr="006304F9">
        <w:t xml:space="preserve"> быть упакован</w:t>
      </w:r>
      <w:r>
        <w:t>о</w:t>
      </w:r>
      <w:r w:rsidRPr="006304F9">
        <w:t xml:space="preserve"> в индивидуальную транспортную тару с внутренней влагонепроницаемой бумагой. </w:t>
      </w:r>
    </w:p>
    <w:p w:rsidR="000C0E06" w:rsidRPr="006304F9" w:rsidRDefault="000C0E06" w:rsidP="000C0E06">
      <w:pPr>
        <w:ind w:firstLine="708"/>
        <w:jc w:val="both"/>
      </w:pPr>
      <w:r w:rsidRPr="006304F9">
        <w:t>Транспортировка должна осуществляться любым видом крытого транспорта, обеспечивающим защиту изделий от климатических воздействий и механических факторов в соответствии с правилами перевозки грузов, действующими на данном виде транспорта.</w:t>
      </w:r>
    </w:p>
    <w:p w:rsidR="000C0E06" w:rsidRPr="00ED1739" w:rsidRDefault="000C0E06" w:rsidP="000C0E06">
      <w:pPr>
        <w:ind w:firstLine="708"/>
        <w:jc w:val="both"/>
      </w:pPr>
      <w:r w:rsidRPr="006304F9">
        <w:t>Хранение должно осуществляться в соответствии с требованиями, предъявляемыми к данной категории товара</w:t>
      </w:r>
      <w:r w:rsidRPr="00BF0B6E">
        <w:t>.</w:t>
      </w:r>
    </w:p>
    <w:p w:rsidR="000C0E06" w:rsidRPr="00ED1739" w:rsidRDefault="000C0E06" w:rsidP="000C0E06">
      <w:pPr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BF0B6E">
        <w:rPr>
          <w:b/>
        </w:rPr>
        <w:t>Требования к сроку и (или) объему предоставленных гарантий качества Товара</w:t>
      </w:r>
    </w:p>
    <w:p w:rsidR="000C0E06" w:rsidRPr="00BF0B6E" w:rsidRDefault="000C0E06" w:rsidP="000C0E06">
      <w:pPr>
        <w:keepNext/>
        <w:ind w:left="720"/>
        <w:contextualSpacing/>
        <w:rPr>
          <w:b/>
        </w:rPr>
      </w:pPr>
    </w:p>
    <w:p w:rsidR="000C0E06" w:rsidRPr="00ED1739" w:rsidRDefault="000C0E06" w:rsidP="000C0E06">
      <w:pPr>
        <w:ind w:firstLine="708"/>
        <w:jc w:val="both"/>
      </w:pPr>
      <w:r w:rsidRPr="00BF0B6E">
        <w:t>Гарантийный срок изделий должен быть не менее 24 (двадцати четырех) месяцев</w:t>
      </w:r>
      <w:r w:rsidRPr="00ED1739">
        <w:t xml:space="preserve"> со дня подписания Акта приема-передачи </w:t>
      </w:r>
      <w:r>
        <w:t>изделия</w:t>
      </w:r>
      <w:r w:rsidRPr="00ED1739">
        <w:t xml:space="preserve"> инвалидом либо лицом, представляющим его интересы. Срок выполнения гарантийного ремонта со дня обращения инвалида не должен превышать 15 рабочих дней.</w:t>
      </w:r>
    </w:p>
    <w:p w:rsidR="000C0E06" w:rsidRDefault="000C0E06" w:rsidP="000C0E06">
      <w:pPr>
        <w:ind w:firstLine="708"/>
        <w:jc w:val="both"/>
      </w:pPr>
      <w:r w:rsidRPr="00ED1739">
        <w:t xml:space="preserve">В случае предъявления претензий инвалидов к качеству полученных </w:t>
      </w:r>
      <w:r w:rsidRPr="00C30522">
        <w:t>специальны</w:t>
      </w:r>
      <w:r>
        <w:t>х устройств</w:t>
      </w:r>
      <w:r w:rsidRPr="00C30522">
        <w:t xml:space="preserve"> для оптической коррекции слабовидения</w:t>
      </w:r>
      <w:r w:rsidRPr="00ED1739">
        <w:t xml:space="preserve"> Поставщик в течение 10 (десяти) рабочих дней со дня обращения инвалида обязан произвести замену имеющих недостатки или дефекты (брак) </w:t>
      </w:r>
      <w:r w:rsidRPr="00C30522">
        <w:t>специальны</w:t>
      </w:r>
      <w:r>
        <w:t>х</w:t>
      </w:r>
      <w:r w:rsidRPr="00C30522">
        <w:t xml:space="preserve"> устройств для оптической коррекции слабовидения</w:t>
      </w:r>
      <w:r w:rsidRPr="00ED1739">
        <w:t xml:space="preserve"> на аналогичные надлежащего качества. Замена должна производиться Поставщиком за счет собственных средств </w:t>
      </w:r>
      <w:r w:rsidRPr="006D4A16">
        <w:t>по месту жительства получателя</w:t>
      </w:r>
      <w:r>
        <w:t>.</w:t>
      </w:r>
    </w:p>
    <w:p w:rsidR="000C0E06" w:rsidRDefault="000C0E06" w:rsidP="000C0E06">
      <w:pPr>
        <w:ind w:firstLine="708"/>
        <w:jc w:val="both"/>
      </w:pPr>
      <w:r w:rsidRPr="00ED1739">
        <w:t xml:space="preserve">Обеспечение ремонта и технического обслуживания изделий,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 </w:t>
      </w:r>
    </w:p>
    <w:p w:rsidR="000C0E06" w:rsidRPr="000F6B55" w:rsidRDefault="000C0E06" w:rsidP="000C0E06">
      <w:pPr>
        <w:ind w:firstLine="708"/>
        <w:jc w:val="both"/>
      </w:pPr>
      <w:r w:rsidRPr="000F6B55">
        <w:t>Обязательно наличие гарантийных талонов, дающих право на бесплатный ремонт изделия во время гарантийного срока.</w:t>
      </w:r>
    </w:p>
    <w:p w:rsidR="000C0E06" w:rsidRDefault="000C0E06" w:rsidP="000C0E06">
      <w:pPr>
        <w:ind w:firstLine="708"/>
        <w:jc w:val="both"/>
      </w:pPr>
      <w:r w:rsidRPr="000F6B55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</w:t>
      </w:r>
      <w:r>
        <w:t>.</w:t>
      </w:r>
    </w:p>
    <w:p w:rsidR="000C0E06" w:rsidRPr="00D1550C" w:rsidRDefault="000C0E06" w:rsidP="000C0E06">
      <w:pPr>
        <w:ind w:firstLine="708"/>
        <w:jc w:val="both"/>
      </w:pPr>
      <w:r w:rsidRPr="00D1550C">
        <w:t>Текущее обслуживание изделий производится пользователем самостоятельно, согласно инструкции по эксплуатации.</w:t>
      </w:r>
    </w:p>
    <w:p w:rsidR="000C0E06" w:rsidRPr="00D1550C" w:rsidRDefault="000C0E06" w:rsidP="000C0E06">
      <w:pPr>
        <w:ind w:firstLine="708"/>
        <w:jc w:val="both"/>
      </w:pPr>
      <w:r w:rsidRPr="00D1550C">
        <w:rPr>
          <w:bCs/>
        </w:rPr>
        <w:t xml:space="preserve">При выдаче изделий Поставщик </w:t>
      </w:r>
      <w:r>
        <w:rPr>
          <w:bCs/>
        </w:rPr>
        <w:t>должен провести</w:t>
      </w:r>
      <w:r w:rsidRPr="00D1550C">
        <w:rPr>
          <w:bCs/>
        </w:rPr>
        <w:t xml:space="preserve"> инструктаж инвалидов</w:t>
      </w:r>
      <w:r w:rsidRPr="00D1550C">
        <w:t xml:space="preserve"> и оказа</w:t>
      </w:r>
      <w:r>
        <w:t>ть</w:t>
      </w:r>
      <w:r w:rsidRPr="00D1550C">
        <w:t xml:space="preserve"> им консультативн</w:t>
      </w:r>
      <w:r>
        <w:t>ую</w:t>
      </w:r>
      <w:r w:rsidRPr="00D1550C">
        <w:t xml:space="preserve"> помощ</w:t>
      </w:r>
      <w:r>
        <w:t>ь</w:t>
      </w:r>
      <w:r w:rsidRPr="00D1550C">
        <w:t xml:space="preserve"> по правильному пользованию </w:t>
      </w:r>
      <w:r w:rsidRPr="00C30522">
        <w:t>специальны</w:t>
      </w:r>
      <w:r>
        <w:t>ми</w:t>
      </w:r>
      <w:r w:rsidRPr="00C30522">
        <w:t xml:space="preserve"> устройства</w:t>
      </w:r>
      <w:r>
        <w:t>ми</w:t>
      </w:r>
      <w:r w:rsidRPr="00C30522">
        <w:t xml:space="preserve"> для оптической коррекции слабовидения</w:t>
      </w:r>
      <w:r w:rsidRPr="00D1550C">
        <w:t>, по технике безопасности при использовании изделий, а также разъясн</w:t>
      </w:r>
      <w:r>
        <w:t>ить</w:t>
      </w:r>
      <w:r w:rsidRPr="00D1550C">
        <w:t xml:space="preserve"> Получателям условия гарантийного обслуживания изделий. </w:t>
      </w:r>
    </w:p>
    <w:p w:rsidR="000C0E06" w:rsidRPr="00ED1739" w:rsidRDefault="000C0E06" w:rsidP="000C0E06">
      <w:pPr>
        <w:ind w:firstLine="708"/>
        <w:jc w:val="both"/>
      </w:pPr>
      <w:r w:rsidRPr="00D1550C">
        <w:t>Гарантийные обязательства не распространяются на случаи выхода изделия из строя по вине пользователя</w:t>
      </w:r>
    </w:p>
    <w:p w:rsidR="000C0E06" w:rsidRPr="00ED1739" w:rsidRDefault="000C0E06" w:rsidP="000C0E06">
      <w:pPr>
        <w:ind w:firstLine="708"/>
        <w:jc w:val="both"/>
      </w:pPr>
    </w:p>
    <w:p w:rsidR="000C0E06" w:rsidRDefault="000C0E06" w:rsidP="000C0E06">
      <w:pPr>
        <w:keepNext/>
        <w:numPr>
          <w:ilvl w:val="0"/>
          <w:numId w:val="1"/>
        </w:numPr>
        <w:contextualSpacing/>
        <w:jc w:val="center"/>
        <w:rPr>
          <w:b/>
        </w:rPr>
      </w:pPr>
      <w:r w:rsidRPr="00ED1739">
        <w:rPr>
          <w:b/>
        </w:rPr>
        <w:t>Требования к условиям, объемам и срокам поставки Товара</w:t>
      </w:r>
    </w:p>
    <w:p w:rsidR="000C0E06" w:rsidRPr="00ED1739" w:rsidRDefault="000C0E06" w:rsidP="000C0E06">
      <w:pPr>
        <w:keepNext/>
        <w:ind w:left="720"/>
        <w:contextualSpacing/>
        <w:rPr>
          <w:b/>
        </w:rPr>
      </w:pPr>
    </w:p>
    <w:p w:rsidR="000C0E06" w:rsidRDefault="000C0E06" w:rsidP="000C0E06">
      <w:pPr>
        <w:ind w:firstLine="708"/>
        <w:jc w:val="both"/>
      </w:pPr>
      <w:r w:rsidRPr="00ED1739">
        <w:t>Поставка</w:t>
      </w:r>
      <w:r w:rsidRPr="00543968">
        <w:t xml:space="preserve"> </w:t>
      </w:r>
      <w:r w:rsidRPr="00ED1739">
        <w:t>товара осуществляется</w:t>
      </w:r>
      <w:r w:rsidRPr="00543968">
        <w:t xml:space="preserve"> </w:t>
      </w:r>
      <w:r w:rsidRPr="00ED1739">
        <w:t xml:space="preserve">непосредственно </w:t>
      </w:r>
      <w:r w:rsidRPr="00543968">
        <w:t>по месту нахождения специализированного пункта выдачи изделий или по месту жительства инвалида</w:t>
      </w:r>
      <w:r w:rsidRPr="00ED1739">
        <w:t xml:space="preserve"> (дом, квартира, в случае невозможности его прибытия по объекти</w:t>
      </w:r>
      <w:r>
        <w:t xml:space="preserve">вным причинам) в г. Севастополь. </w:t>
      </w:r>
      <w:r w:rsidRPr="00543968">
        <w:t xml:space="preserve">Сроки поставки: не позднее </w:t>
      </w:r>
      <w:r>
        <w:t xml:space="preserve">25 </w:t>
      </w:r>
      <w:r w:rsidRPr="00543968">
        <w:t>декабря 201</w:t>
      </w:r>
      <w:r>
        <w:t>8</w:t>
      </w:r>
      <w:r w:rsidRPr="00543968">
        <w:t xml:space="preserve"> года.</w:t>
      </w:r>
    </w:p>
    <w:p w:rsidR="000C0E06" w:rsidRPr="00AA062B" w:rsidRDefault="000C0E06" w:rsidP="000C0E06">
      <w:pPr>
        <w:ind w:firstLine="708"/>
        <w:jc w:val="both"/>
      </w:pPr>
      <w:r w:rsidRPr="00AA062B">
        <w:t xml:space="preserve">О предстоящей поставке товара получатель должен быть уведомлен Поставщиком не позднее, чем за сутки до предполагаемой даты поставки. </w:t>
      </w:r>
    </w:p>
    <w:p w:rsidR="000C0E06" w:rsidRPr="00AA062B" w:rsidRDefault="000C0E06" w:rsidP="000C0E06">
      <w:pPr>
        <w:ind w:firstLine="708"/>
        <w:jc w:val="both"/>
      </w:pPr>
      <w:r w:rsidRPr="00AA062B">
        <w:lastRenderedPageBreak/>
        <w:t>Выдача изделий получателям должна осуществляться при наличии у них направлений, выданных ГУ – Севастопольск</w:t>
      </w:r>
      <w:r>
        <w:t>им</w:t>
      </w:r>
      <w:r w:rsidRPr="00AA062B">
        <w:t xml:space="preserve"> региональн</w:t>
      </w:r>
      <w:r>
        <w:t>ым</w:t>
      </w:r>
      <w:r w:rsidRPr="00AA062B">
        <w:t xml:space="preserve"> отделени</w:t>
      </w:r>
      <w:r>
        <w:t>ем</w:t>
      </w:r>
      <w:r w:rsidRPr="00AA062B">
        <w:t xml:space="preserve"> ФСС РФ. При выдаче изделий Поставщик должен провести инструктаж получателей и оказать им консультативную помощь по правильному пользованию изделиями.</w:t>
      </w:r>
    </w:p>
    <w:p w:rsidR="000C0E06" w:rsidRPr="00ED1739" w:rsidRDefault="000C0E06" w:rsidP="000C0E06">
      <w:pPr>
        <w:ind w:firstLine="708"/>
        <w:jc w:val="both"/>
      </w:pPr>
    </w:p>
    <w:p w:rsidR="000C0E06" w:rsidRPr="00A7645C" w:rsidRDefault="000C0E06" w:rsidP="000C0E0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:rsidR="000C0E06" w:rsidRDefault="000C0E06" w:rsidP="000C0E0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:rsidR="000C0E06" w:rsidRDefault="000C0E06" w:rsidP="000C0E0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:rsidR="000C0E06" w:rsidRDefault="000C0E06" w:rsidP="000C0E0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Cs w:val="24"/>
          <w:lang w:bidi="x-none"/>
        </w:rPr>
      </w:pPr>
    </w:p>
    <w:p w:rsidR="00C707A4" w:rsidRDefault="00C707A4">
      <w:bookmarkStart w:id="0" w:name="_GoBack"/>
      <w:bookmarkEnd w:id="0"/>
    </w:p>
    <w:sectPr w:rsidR="00C7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0F62"/>
    <w:multiLevelType w:val="multilevel"/>
    <w:tmpl w:val="0F1AC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FE677DB"/>
    <w:multiLevelType w:val="hybridMultilevel"/>
    <w:tmpl w:val="D19C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6"/>
    <w:rsid w:val="000C0E06"/>
    <w:rsid w:val="00C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93B3-BDF7-477D-91BF-61D91F1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0C0E0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0C0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E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0C0E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Крюкова Наталья Александровна</cp:lastModifiedBy>
  <cp:revision>1</cp:revision>
  <dcterms:created xsi:type="dcterms:W3CDTF">2018-11-27T12:12:00Z</dcterms:created>
  <dcterms:modified xsi:type="dcterms:W3CDTF">2018-11-27T12:12:00Z</dcterms:modified>
</cp:coreProperties>
</file>