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F2" w:rsidRPr="00AE56F2" w:rsidRDefault="00AE56F2" w:rsidP="00AE56F2">
      <w:pPr>
        <w:widowControl w:val="0"/>
        <w:jc w:val="center"/>
        <w:rPr>
          <w:lang w:eastAsia="ar-SA"/>
        </w:rPr>
      </w:pPr>
      <w:r w:rsidRPr="00AE56F2">
        <w:rPr>
          <w:bCs/>
          <w:kern w:val="1"/>
          <w:lang w:eastAsia="zh-CN"/>
        </w:rPr>
        <w:t xml:space="preserve">Техническое задание поставку технических средств реабилитации — </w:t>
      </w:r>
      <w:r w:rsidRPr="00AE56F2">
        <w:rPr>
          <w:lang w:eastAsia="ar-SA"/>
        </w:rPr>
        <w:t>специальных устройств для чтения «говорящих» книг на флэш-картах для обеспечения ими инвалидов.</w:t>
      </w:r>
    </w:p>
    <w:p w:rsidR="00AE56F2" w:rsidRPr="00AE56F2" w:rsidRDefault="00AE56F2" w:rsidP="00AE56F2">
      <w:pPr>
        <w:pStyle w:val="a4"/>
        <w:rPr>
          <w:rFonts w:eastAsia="Andale Sans UI" w:cs="Tahoma"/>
          <w:bCs/>
          <w:iCs/>
          <w:kern w:val="1"/>
          <w:lang w:eastAsia="fa-IR" w:bidi="fa-IR"/>
        </w:rPr>
      </w:pPr>
    </w:p>
    <w:tbl>
      <w:tblPr>
        <w:tblW w:w="9726"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7174"/>
        <w:gridCol w:w="851"/>
      </w:tblGrid>
      <w:tr w:rsidR="00AE56F2" w:rsidRPr="00AE56F2" w:rsidTr="00AE56F2">
        <w:tc>
          <w:tcPr>
            <w:tcW w:w="1701" w:type="dxa"/>
            <w:tcBorders>
              <w:top w:val="single" w:sz="1" w:space="0" w:color="000000"/>
              <w:left w:val="single" w:sz="1" w:space="0" w:color="000000"/>
              <w:bottom w:val="single" w:sz="1" w:space="0" w:color="000000"/>
            </w:tcBorders>
            <w:shd w:val="clear" w:color="auto" w:fill="auto"/>
          </w:tcPr>
          <w:p w:rsidR="00AE56F2" w:rsidRPr="00AE56F2" w:rsidRDefault="00AE56F2" w:rsidP="00A47330">
            <w:pPr>
              <w:pStyle w:val="a7"/>
              <w:snapToGrid w:val="0"/>
              <w:jc w:val="center"/>
              <w:rPr>
                <w:sz w:val="22"/>
                <w:szCs w:val="22"/>
              </w:rPr>
            </w:pPr>
            <w:r w:rsidRPr="00AE56F2">
              <w:rPr>
                <w:sz w:val="22"/>
                <w:szCs w:val="22"/>
              </w:rPr>
              <w:t>Вид изделий</w:t>
            </w:r>
          </w:p>
        </w:tc>
        <w:tc>
          <w:tcPr>
            <w:tcW w:w="7174" w:type="dxa"/>
            <w:tcBorders>
              <w:top w:val="single" w:sz="1" w:space="0" w:color="000000"/>
              <w:left w:val="single" w:sz="1" w:space="0" w:color="000000"/>
              <w:bottom w:val="single" w:sz="1" w:space="0" w:color="000000"/>
              <w:right w:val="single" w:sz="2" w:space="0" w:color="000000"/>
            </w:tcBorders>
            <w:shd w:val="clear" w:color="auto" w:fill="auto"/>
          </w:tcPr>
          <w:p w:rsidR="00AE56F2" w:rsidRPr="00AE56F2" w:rsidRDefault="00AE56F2" w:rsidP="00A47330">
            <w:pPr>
              <w:pStyle w:val="a7"/>
              <w:snapToGrid w:val="0"/>
              <w:jc w:val="center"/>
              <w:rPr>
                <w:sz w:val="22"/>
                <w:szCs w:val="22"/>
              </w:rPr>
            </w:pPr>
            <w:r w:rsidRPr="00AE56F2">
              <w:rPr>
                <w:sz w:val="22"/>
                <w:szCs w:val="22"/>
              </w:rPr>
              <w:t>Функциональные требования и технические характеристики</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AE56F2" w:rsidRPr="00AE56F2" w:rsidRDefault="00AE56F2" w:rsidP="00A47330">
            <w:pPr>
              <w:pStyle w:val="a7"/>
              <w:snapToGrid w:val="0"/>
              <w:jc w:val="center"/>
              <w:rPr>
                <w:sz w:val="22"/>
                <w:szCs w:val="22"/>
              </w:rPr>
            </w:pPr>
            <w:r w:rsidRPr="00AE56F2">
              <w:rPr>
                <w:sz w:val="22"/>
                <w:szCs w:val="22"/>
              </w:rPr>
              <w:t>Кол-во, (штук)</w:t>
            </w:r>
          </w:p>
        </w:tc>
      </w:tr>
      <w:tr w:rsidR="00AE56F2" w:rsidRPr="00AE56F2" w:rsidTr="00AE56F2">
        <w:trPr>
          <w:trHeight w:val="3199"/>
        </w:trPr>
        <w:tc>
          <w:tcPr>
            <w:tcW w:w="1701" w:type="dxa"/>
            <w:tcBorders>
              <w:left w:val="single" w:sz="1" w:space="0" w:color="000000"/>
              <w:bottom w:val="single" w:sz="1" w:space="0" w:color="000000"/>
            </w:tcBorders>
            <w:shd w:val="clear" w:color="auto" w:fill="auto"/>
          </w:tcPr>
          <w:p w:rsidR="00AE56F2" w:rsidRPr="00AE56F2" w:rsidRDefault="00AE56F2" w:rsidP="00A47330">
            <w:pPr>
              <w:pStyle w:val="Standard"/>
              <w:snapToGrid w:val="0"/>
              <w:ind w:right="-45"/>
              <w:jc w:val="center"/>
              <w:rPr>
                <w:sz w:val="22"/>
                <w:szCs w:val="22"/>
              </w:rPr>
            </w:pPr>
            <w:r w:rsidRPr="00AE56F2">
              <w:rPr>
                <w:sz w:val="22"/>
                <w:szCs w:val="22"/>
              </w:rPr>
              <w:t>Специальное устройство для чтения «говорящих книг» на флэш-картах</w:t>
            </w:r>
          </w:p>
        </w:tc>
        <w:tc>
          <w:tcPr>
            <w:tcW w:w="7174" w:type="dxa"/>
            <w:tcBorders>
              <w:left w:val="single" w:sz="1" w:space="0" w:color="000000"/>
              <w:bottom w:val="single" w:sz="1" w:space="0" w:color="000000"/>
              <w:right w:val="single" w:sz="2" w:space="0" w:color="000000"/>
            </w:tcBorders>
            <w:shd w:val="clear" w:color="auto" w:fill="auto"/>
          </w:tcPr>
          <w:p w:rsidR="00AE56F2" w:rsidRPr="00AE56F2" w:rsidRDefault="00AE56F2" w:rsidP="00A47330">
            <w:pPr>
              <w:pStyle w:val="Standard"/>
              <w:autoSpaceDE w:val="0"/>
              <w:snapToGrid w:val="0"/>
              <w:spacing w:line="100" w:lineRule="atLeast"/>
              <w:jc w:val="both"/>
              <w:rPr>
                <w:sz w:val="22"/>
                <w:szCs w:val="22"/>
              </w:rPr>
            </w:pPr>
            <w:r w:rsidRPr="00AE56F2">
              <w:rPr>
                <w:rFonts w:eastAsia="Lucida Sans Unicode"/>
                <w:sz w:val="22"/>
                <w:szCs w:val="22"/>
              </w:rPr>
              <w:t xml:space="preserve">Специальное устройство для чтения «говорящих книг» на флэш-картах предназначено для воспроизведения «говорящих книг», записанных в специальном </w:t>
            </w:r>
            <w:proofErr w:type="spellStart"/>
            <w:r w:rsidRPr="00AE56F2">
              <w:rPr>
                <w:rFonts w:eastAsia="Lucida Sans Unicode"/>
                <w:sz w:val="22"/>
                <w:szCs w:val="22"/>
              </w:rPr>
              <w:t>криптозащищенном</w:t>
            </w:r>
            <w:proofErr w:type="spellEnd"/>
            <w:r w:rsidRPr="00AE56F2">
              <w:rPr>
                <w:rFonts w:eastAsia="Lucida Sans Unicode"/>
                <w:sz w:val="22"/>
                <w:szCs w:val="22"/>
              </w:rPr>
              <w:t xml:space="preserve">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 Устройство должно иметь следующие технические параметры, функции и режимы: Воспроизведение «говорящих книг», записанных на флэш-картах типа ММС, SD, SDHC (объемом до 32 Гб включительно) с поддержкой файловых структур FAT и FAT-32. Поддержка специализированного формата «говорящих книг», используемого в специальных библиотеках для слепых, с применением трехпроходного поточного блочного шифрования содержимого МРЗ-файлов по алгоритму ХХТЕА с длиной ключа криптозащиты 128 бит. Поддерживаемые форматы: МРЗ, ТХТ, DAISY 2.0/2.02. Воспроизведение МРЗ-файлов с </w:t>
            </w:r>
            <w:proofErr w:type="spellStart"/>
            <w:r w:rsidRPr="00AE56F2">
              <w:rPr>
                <w:rFonts w:eastAsia="Lucida Sans Unicode"/>
                <w:sz w:val="22"/>
                <w:szCs w:val="22"/>
              </w:rPr>
              <w:t>битрейтом</w:t>
            </w:r>
            <w:proofErr w:type="spellEnd"/>
            <w:r w:rsidRPr="00AE56F2">
              <w:rPr>
                <w:rFonts w:eastAsia="Lucida Sans Unicode"/>
                <w:sz w:val="22"/>
                <w:szCs w:val="22"/>
              </w:rPr>
              <w:t xml:space="preserve"> 8 — 320 кбит/с. Воспроизведение электронных текстов в формате ТХТ при помощи синтеза речи. Плавная регулировка скорости воспроизведения. Озвученная навигация на русском языке по книгам, разделам книги, электронным закладкам. Озвученная перемотка на русском языке в прямом и обратном направлениях. Блокировка клавиатуры. Регулировка громкости. Встроенная акустическая система с мощностью не менее 0,1 Вт. Возможность прослушивания с использованием </w:t>
            </w:r>
            <w:proofErr w:type="gramStart"/>
            <w:r w:rsidRPr="00AE56F2">
              <w:rPr>
                <w:rFonts w:eastAsia="Lucida Sans Unicode"/>
                <w:sz w:val="22"/>
                <w:szCs w:val="22"/>
              </w:rPr>
              <w:t>стерео-наушников</w:t>
            </w:r>
            <w:proofErr w:type="gramEnd"/>
            <w:r w:rsidRPr="00AE56F2">
              <w:rPr>
                <w:rFonts w:eastAsia="Lucida Sans Unicode"/>
                <w:sz w:val="22"/>
                <w:szCs w:val="22"/>
              </w:rPr>
              <w:t xml:space="preserve">. Режим диктофона с возможностью записи на флэш-карту или во внутреннюю память со встроенного и с внешнего микрофонов. Запись на флэш-карту или во внутреннюю память с внешних источников через линейный вход. Наличие режима FM-радио с возможностью записи радиопередач. Обновление внутреннего программного обеспечения из файлов, записанных на флэш-карте. Автоматическое отключение устройства при отсутствии активности пользователя (режим «Сон») с возможностью настройки таймера автоматического отключения. При выключении и повторном включении устройство должно обеспечивать воспроизведение фонограммы с места прерывания. Возможность устанавливать «электронные закладки» (маркировка необходимого места на фонограмме и воспроизведение с установленного места). Панель управления должна иметь озвученный режим выполняемых команд. Не допускается управление устройством с дистанционного пульта. Кнопки на панели управления должны иметь тактильные метки. Питание: комбинированное от сети 198-242 В/50 Гц и от батарей/аккумулятора. Габаритные размеры: не более 180 х 115 х 40 мм. Время автономной работы от батарей или аккумулятора в режиме среднего уровня громкости не менее 8 часов. Разъемы: выход для головного телефона, разъем для установки флэш-карты, разъем для подключения сетевого шнура или сетевого адаптера, разъем для подключения внешнего микрофона и линейного входа. Комплект поставки: специальное устройство для чтения «говорящих книг» на флэш-картах, флэш-карта объемом не менее 1 Гб </w:t>
            </w:r>
            <w:proofErr w:type="spellStart"/>
            <w:r w:rsidRPr="00AE56F2">
              <w:rPr>
                <w:rFonts w:eastAsia="Lucida Sans Unicode"/>
                <w:sz w:val="22"/>
                <w:szCs w:val="22"/>
              </w:rPr>
              <w:t>сзаписанными</w:t>
            </w:r>
            <w:proofErr w:type="spellEnd"/>
            <w:r w:rsidRPr="00AE56F2">
              <w:rPr>
                <w:rFonts w:eastAsia="Lucida Sans Unicode"/>
                <w:sz w:val="22"/>
                <w:szCs w:val="22"/>
              </w:rPr>
              <w:t xml:space="preserve"> «говорящими» книгами, сетевой шнур или сетевой адаптер, наушники, паспорт изделия, плоскопечатное (крупным шрифтом) и звуковое (на флэш-карте) руководство по эксплуатации на русском языке, гарантийный талон, упаковочная коробка. Гарантийный срок должен составлять не менее 12 месяцев. Срок гарантийного ремонта со дня обращения инвалида не должен превышать 20 рабочих дней. Срок эксплуатации устройства — не менее 7 лет</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AE56F2" w:rsidRPr="00AE56F2" w:rsidRDefault="00AE56F2" w:rsidP="00A47330">
            <w:pPr>
              <w:pStyle w:val="a7"/>
              <w:snapToGrid w:val="0"/>
              <w:jc w:val="center"/>
              <w:rPr>
                <w:sz w:val="22"/>
                <w:szCs w:val="22"/>
              </w:rPr>
            </w:pPr>
            <w:r w:rsidRPr="00AE56F2">
              <w:rPr>
                <w:sz w:val="22"/>
                <w:szCs w:val="22"/>
              </w:rPr>
              <w:t>2</w:t>
            </w:r>
            <w:r w:rsidRPr="00AE56F2">
              <w:rPr>
                <w:sz w:val="22"/>
                <w:szCs w:val="22"/>
              </w:rPr>
              <w:t>50</w:t>
            </w:r>
          </w:p>
        </w:tc>
      </w:tr>
      <w:tr w:rsidR="00AE56F2" w:rsidRPr="00AE56F2" w:rsidTr="00AE56F2">
        <w:trPr>
          <w:trHeight w:val="298"/>
        </w:trPr>
        <w:tc>
          <w:tcPr>
            <w:tcW w:w="1701" w:type="dxa"/>
            <w:tcBorders>
              <w:left w:val="single" w:sz="1" w:space="0" w:color="000000"/>
              <w:bottom w:val="single" w:sz="1" w:space="0" w:color="000000"/>
            </w:tcBorders>
            <w:shd w:val="clear" w:color="auto" w:fill="auto"/>
          </w:tcPr>
          <w:p w:rsidR="00AE56F2" w:rsidRPr="00AE56F2" w:rsidRDefault="00AE56F2" w:rsidP="00A47330">
            <w:pPr>
              <w:snapToGrid w:val="0"/>
              <w:jc w:val="both"/>
              <w:rPr>
                <w:rFonts w:eastAsia="Arial"/>
                <w:sz w:val="22"/>
                <w:szCs w:val="22"/>
              </w:rPr>
            </w:pPr>
          </w:p>
        </w:tc>
        <w:tc>
          <w:tcPr>
            <w:tcW w:w="7174" w:type="dxa"/>
            <w:tcBorders>
              <w:left w:val="single" w:sz="1" w:space="0" w:color="000000"/>
              <w:bottom w:val="single" w:sz="1" w:space="0" w:color="000000"/>
              <w:right w:val="single" w:sz="2" w:space="0" w:color="000000"/>
            </w:tcBorders>
            <w:shd w:val="clear" w:color="auto" w:fill="auto"/>
          </w:tcPr>
          <w:p w:rsidR="00AE56F2" w:rsidRPr="00AE56F2" w:rsidRDefault="00AE56F2" w:rsidP="00A47330">
            <w:pPr>
              <w:tabs>
                <w:tab w:val="left" w:pos="1212"/>
              </w:tabs>
              <w:snapToGrid w:val="0"/>
              <w:spacing w:line="200" w:lineRule="atLeast"/>
              <w:ind w:right="60"/>
              <w:jc w:val="right"/>
              <w:rPr>
                <w:rFonts w:eastAsia="Arial"/>
                <w:b/>
                <w:bCs/>
                <w:iCs/>
              </w:rPr>
            </w:pPr>
            <w:r w:rsidRPr="00AE56F2">
              <w:rPr>
                <w:rFonts w:eastAsia="Arial"/>
                <w:b/>
                <w:bCs/>
                <w:iCs/>
              </w:rPr>
              <w:t>Итого:</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AE56F2" w:rsidRPr="00AE56F2" w:rsidRDefault="00AE56F2" w:rsidP="00A47330">
            <w:pPr>
              <w:pStyle w:val="a7"/>
              <w:jc w:val="center"/>
              <w:rPr>
                <w:b/>
                <w:sz w:val="22"/>
                <w:szCs w:val="22"/>
              </w:rPr>
            </w:pPr>
            <w:r w:rsidRPr="00AE56F2">
              <w:rPr>
                <w:b/>
                <w:sz w:val="22"/>
                <w:szCs w:val="22"/>
              </w:rPr>
              <w:t>2</w:t>
            </w:r>
            <w:r w:rsidRPr="00AE56F2">
              <w:rPr>
                <w:b/>
                <w:sz w:val="22"/>
                <w:szCs w:val="22"/>
              </w:rPr>
              <w:t>50</w:t>
            </w:r>
          </w:p>
        </w:tc>
      </w:tr>
    </w:tbl>
    <w:p w:rsidR="00AE56F2" w:rsidRPr="00AE56F2" w:rsidRDefault="00AE56F2" w:rsidP="00AE56F2">
      <w:pPr>
        <w:autoSpaceDE w:val="0"/>
        <w:jc w:val="center"/>
        <w:rPr>
          <w:b/>
        </w:rPr>
      </w:pPr>
      <w:r w:rsidRPr="00AE56F2">
        <w:rPr>
          <w:b/>
        </w:rPr>
        <w:t>Требования к функциональным характеристикам товара</w:t>
      </w:r>
    </w:p>
    <w:p w:rsidR="00AE56F2" w:rsidRPr="00AE56F2" w:rsidRDefault="00AE56F2" w:rsidP="00AE56F2">
      <w:pPr>
        <w:ind w:firstLine="709"/>
        <w:jc w:val="both"/>
      </w:pPr>
      <w:r w:rsidRPr="00AE56F2">
        <w:t>Специальные устройства для чтения «говорящих книг» на флэш-картах (</w:t>
      </w:r>
      <w:proofErr w:type="spellStart"/>
      <w:r w:rsidRPr="00AE56F2">
        <w:t>тифлофлэшплееры</w:t>
      </w:r>
      <w:proofErr w:type="spellEnd"/>
      <w:r w:rsidRPr="00AE56F2">
        <w:t xml:space="preserve"> различных типов и фирм производителей)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AE56F2" w:rsidRDefault="00AE56F2" w:rsidP="00AE56F2">
      <w:pPr>
        <w:pStyle w:val="a6"/>
        <w:ind w:firstLine="709"/>
        <w:jc w:val="both"/>
        <w:rPr>
          <w:rFonts w:eastAsia="Lucida Sans Unicode"/>
        </w:rPr>
      </w:pPr>
      <w:r w:rsidRPr="00AE56F2">
        <w:rPr>
          <w:rFonts w:eastAsia="Lucida Sans Unicode"/>
        </w:rPr>
        <w:t xml:space="preserve">Устройства для чтения «говорящих» книг на флэш-картах должны позволять </w:t>
      </w:r>
      <w:r w:rsidRPr="00AE56F2">
        <w:t>различными категориями незрячих пользователей самостоятельно работать с плоскопечатными текстами (книгами, периодическими изданиями и другими документами)</w:t>
      </w:r>
      <w:r w:rsidRPr="00AE56F2">
        <w:rPr>
          <w:rFonts w:eastAsia="Lucida Sans Unicode"/>
        </w:rPr>
        <w:t xml:space="preserve"> </w:t>
      </w:r>
      <w:r w:rsidRPr="00AE56F2">
        <w:t>посредством звукового ряда первоисточника с использованием информационных носителей</w:t>
      </w:r>
      <w:r w:rsidRPr="00AE56F2">
        <w:rPr>
          <w:rFonts w:eastAsia="Lucida Sans Unicode"/>
        </w:rPr>
        <w:t xml:space="preserve">, записанных в специальном защищенном </w:t>
      </w:r>
      <w:proofErr w:type="spellStart"/>
      <w:r w:rsidRPr="00AE56F2">
        <w:rPr>
          <w:rFonts w:eastAsia="Lucida Sans Unicode"/>
        </w:rPr>
        <w:t>тифлоформате</w:t>
      </w:r>
      <w:proofErr w:type="spellEnd"/>
      <w:r w:rsidRPr="00AE56F2">
        <w:t xml:space="preserve"> </w:t>
      </w:r>
      <w:r w:rsidRPr="00AE56F2">
        <w:rPr>
          <w:rFonts w:eastAsia="Lucida Sans Unicode"/>
        </w:rPr>
        <w:t>воспроизведения «говорящих» книг на флэш-картах.</w:t>
      </w:r>
    </w:p>
    <w:p w:rsidR="007B5455" w:rsidRPr="00AE56F2" w:rsidRDefault="007B5455" w:rsidP="00AE56F2">
      <w:pPr>
        <w:pStyle w:val="a6"/>
        <w:ind w:firstLine="709"/>
        <w:jc w:val="both"/>
        <w:rPr>
          <w:rFonts w:eastAsia="Lucida Sans Unicode"/>
        </w:rPr>
      </w:pPr>
    </w:p>
    <w:p w:rsidR="00AE56F2" w:rsidRPr="00AE56F2" w:rsidRDefault="00AE56F2" w:rsidP="00AE56F2">
      <w:pPr>
        <w:jc w:val="center"/>
        <w:rPr>
          <w:b/>
        </w:rPr>
      </w:pPr>
      <w:r w:rsidRPr="00AE56F2">
        <w:rPr>
          <w:b/>
        </w:rPr>
        <w:t>Требования к безопасности товара</w:t>
      </w:r>
    </w:p>
    <w:p w:rsidR="00AE56F2" w:rsidRPr="00AE56F2" w:rsidRDefault="00AE56F2" w:rsidP="00AE56F2">
      <w:pPr>
        <w:pStyle w:val="1"/>
        <w:shd w:val="clear" w:color="auto" w:fill="FFFFFF"/>
        <w:spacing w:before="0" w:after="0"/>
        <w:ind w:firstLine="708"/>
        <w:jc w:val="both"/>
        <w:textAlignment w:val="baseline"/>
        <w:rPr>
          <w:b w:val="0"/>
          <w:i w:val="0"/>
          <w:spacing w:val="2"/>
          <w:sz w:val="24"/>
          <w:szCs w:val="24"/>
        </w:rPr>
      </w:pPr>
      <w:r w:rsidRPr="00AE56F2">
        <w:rPr>
          <w:b w:val="0"/>
          <w:i w:val="0"/>
          <w:sz w:val="24"/>
          <w:szCs w:val="24"/>
        </w:rPr>
        <w:t xml:space="preserve">Материалы, из которых изготавливаются специальные устройства для чтения «говорящих книг» на флэш-картах не должны выделять токсичных веществ при эксплуатации. (п. 4.7.2 </w:t>
      </w:r>
      <w:r w:rsidRPr="00AE56F2">
        <w:rPr>
          <w:b w:val="0"/>
          <w:i w:val="0"/>
          <w:spacing w:val="2"/>
          <w:sz w:val="24"/>
          <w:szCs w:val="24"/>
        </w:rPr>
        <w:t xml:space="preserve">ГОСТ Р 51633-2000 «Устройства и приспособления реабилитационные, используемые инвалидами в жилых помещениях. Общие технические требования»). </w:t>
      </w:r>
    </w:p>
    <w:p w:rsidR="00AE56F2" w:rsidRPr="00AE56F2" w:rsidRDefault="00AE56F2" w:rsidP="00AE56F2">
      <w:pPr>
        <w:ind w:firstLine="709"/>
        <w:jc w:val="both"/>
        <w:rPr>
          <w:rStyle w:val="ArialUnicodeMS95pt"/>
          <w:color w:val="auto"/>
        </w:rPr>
      </w:pPr>
      <w:r w:rsidRPr="00AE56F2">
        <w:t>Специальные устройства для чтения «говорящих» книг на флэш-картах должны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rsidR="00AE56F2" w:rsidRPr="00AE56F2" w:rsidRDefault="00AE56F2" w:rsidP="00AE56F2">
      <w:pPr>
        <w:ind w:firstLine="709"/>
        <w:jc w:val="both"/>
      </w:pPr>
      <w:r w:rsidRPr="00AE56F2">
        <w:t>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поставщик указывает срок службы устройств для чтения «говорящих» книг на флэш-картах, в том числе их комплектующих, а также ГОСТы и ТУ в соответствии с которыми изготовлены устройства для чтения «говорящих» книг на флэш-картах. Срок службы устройства для чтения «говорящих» книг на флэш-картах должен быть не менее установленного Минздравсоцразвития РФ срока пользования техническими средствами реабилитации — устройствами для чтения «говорящих» книг на флэш-картах.</w:t>
      </w:r>
    </w:p>
    <w:p w:rsidR="00AE56F2" w:rsidRPr="00AE56F2" w:rsidRDefault="00AE56F2" w:rsidP="00AE56F2">
      <w:pPr>
        <w:widowControl w:val="0"/>
        <w:tabs>
          <w:tab w:val="left" w:pos="708"/>
        </w:tabs>
        <w:ind w:firstLine="636"/>
        <w:jc w:val="both"/>
        <w:rPr>
          <w:rStyle w:val="5"/>
        </w:rPr>
      </w:pPr>
    </w:p>
    <w:p w:rsidR="00AE56F2" w:rsidRPr="00AE56F2" w:rsidRDefault="00AE56F2" w:rsidP="00AE56F2">
      <w:pPr>
        <w:keepNext/>
        <w:ind w:right="140"/>
        <w:jc w:val="center"/>
        <w:rPr>
          <w:rStyle w:val="5"/>
          <w:b/>
        </w:rPr>
      </w:pPr>
      <w:r w:rsidRPr="00AE56F2">
        <w:rPr>
          <w:rStyle w:val="5"/>
          <w:b/>
        </w:rPr>
        <w:t>Требования к маркиро</w:t>
      </w:r>
      <w:r w:rsidR="007B5455">
        <w:rPr>
          <w:rStyle w:val="5"/>
          <w:b/>
        </w:rPr>
        <w:t>вке, упаковке и отгрузке товара</w:t>
      </w:r>
    </w:p>
    <w:p w:rsidR="00AE56F2" w:rsidRPr="00AE56F2" w:rsidRDefault="00AE56F2" w:rsidP="00AE56F2">
      <w:pPr>
        <w:widowControl w:val="0"/>
        <w:autoSpaceDE w:val="0"/>
        <w:ind w:right="140" w:firstLine="558"/>
        <w:jc w:val="both"/>
      </w:pPr>
      <w:r w:rsidRPr="00AE56F2">
        <w:t>На каждом устройстве для чтения «говорящих» книг на флэш-картах должен быть нанесен товарный знак, установленный для предприятия-изготовителя и маркировка.</w:t>
      </w:r>
    </w:p>
    <w:p w:rsidR="00AE56F2" w:rsidRPr="00AE56F2" w:rsidRDefault="00AE56F2" w:rsidP="00AE56F2">
      <w:pPr>
        <w:pStyle w:val="headertext"/>
        <w:shd w:val="clear" w:color="auto" w:fill="FFFFFF"/>
        <w:spacing w:before="0" w:beforeAutospacing="0" w:after="0" w:afterAutospacing="0" w:line="288" w:lineRule="atLeast"/>
        <w:jc w:val="center"/>
        <w:textAlignment w:val="baseline"/>
        <w:rPr>
          <w:spacing w:val="2"/>
        </w:rPr>
      </w:pPr>
      <w:r w:rsidRPr="00AE56F2">
        <w:rPr>
          <w:bCs/>
          <w:i/>
          <w:spacing w:val="2"/>
        </w:rPr>
        <w:t>Требования к маркировке и эксплуатационным документам</w:t>
      </w:r>
      <w:r w:rsidRPr="00AE56F2">
        <w:rPr>
          <w:bCs/>
          <w:spacing w:val="2"/>
        </w:rPr>
        <w:t>:</w:t>
      </w:r>
    </w:p>
    <w:p w:rsidR="00AE56F2" w:rsidRPr="00AE56F2" w:rsidRDefault="00AE56F2" w:rsidP="00AE56F2">
      <w:pPr>
        <w:pStyle w:val="formattext"/>
        <w:shd w:val="clear" w:color="auto" w:fill="FFFFFF"/>
        <w:spacing w:before="0" w:beforeAutospacing="0" w:after="0" w:afterAutospacing="0"/>
        <w:jc w:val="both"/>
        <w:textAlignment w:val="baseline"/>
        <w:rPr>
          <w:spacing w:val="2"/>
        </w:rPr>
      </w:pPr>
      <w:r w:rsidRPr="00AE56F2">
        <w:rPr>
          <w:spacing w:val="2"/>
        </w:rPr>
        <w:t>1. Наименование и (или) обозначение изделия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изделие, должны быть нанесены на изделие и указаны в прилагаемых к нему</w:t>
      </w:r>
      <w:r w:rsidRPr="00AE56F2">
        <w:rPr>
          <w:rStyle w:val="apple-converted-space"/>
          <w:spacing w:val="2"/>
        </w:rPr>
        <w:t> </w:t>
      </w:r>
      <w:hyperlink r:id="rId4" w:history="1">
        <w:r w:rsidRPr="00AE56F2">
          <w:rPr>
            <w:rStyle w:val="a3"/>
            <w:color w:val="auto"/>
            <w:spacing w:val="2"/>
            <w:u w:val="none"/>
          </w:rPr>
          <w:t>эксплуатационных документах</w:t>
        </w:r>
      </w:hyperlink>
      <w:r w:rsidRPr="00AE56F2">
        <w:rPr>
          <w:spacing w:val="2"/>
        </w:rPr>
        <w:t>. При этом наименование изготовителя и (или) его товарный знак, наименование и обозначение изделия (тип, марка, модель) должны быть также нанесены на</w:t>
      </w:r>
      <w:r w:rsidRPr="00AE56F2">
        <w:rPr>
          <w:rStyle w:val="apple-converted-space"/>
          <w:spacing w:val="2"/>
        </w:rPr>
        <w:t> </w:t>
      </w:r>
      <w:hyperlink r:id="rId5" w:history="1">
        <w:r w:rsidRPr="00AE56F2">
          <w:rPr>
            <w:rStyle w:val="a3"/>
            <w:color w:val="auto"/>
            <w:spacing w:val="2"/>
            <w:u w:val="none"/>
          </w:rPr>
          <w:t>упаковку</w:t>
        </w:r>
      </w:hyperlink>
      <w:r w:rsidRPr="00AE56F2">
        <w:rPr>
          <w:spacing w:val="2"/>
        </w:rPr>
        <w:t>. Если эти сведения невозможно нанести на изделие, то они могут указываться только в прилагаемых к данному изделию</w:t>
      </w:r>
      <w:r w:rsidRPr="00AE56F2">
        <w:rPr>
          <w:rStyle w:val="apple-converted-space"/>
          <w:spacing w:val="2"/>
        </w:rPr>
        <w:t> </w:t>
      </w:r>
      <w:hyperlink r:id="rId6" w:history="1">
        <w:r w:rsidRPr="00AE56F2">
          <w:rPr>
            <w:rStyle w:val="a3"/>
            <w:color w:val="auto"/>
            <w:spacing w:val="2"/>
            <w:u w:val="none"/>
          </w:rPr>
          <w:t>эксплуатационных документах</w:t>
        </w:r>
      </w:hyperlink>
      <w:r w:rsidRPr="00AE56F2">
        <w:rPr>
          <w:spacing w:val="2"/>
        </w:rPr>
        <w:t>. При этом наименование изготовителя и (или) его товарный знак, наименование и обозначение изделия (тип, марка, модель (при наличии) должны быть нанесены на</w:t>
      </w:r>
      <w:r w:rsidRPr="00AE56F2">
        <w:rPr>
          <w:rStyle w:val="apple-converted-space"/>
          <w:spacing w:val="2"/>
        </w:rPr>
        <w:t> </w:t>
      </w:r>
      <w:hyperlink r:id="rId7" w:history="1">
        <w:r w:rsidRPr="00AE56F2">
          <w:rPr>
            <w:rStyle w:val="a3"/>
            <w:color w:val="auto"/>
            <w:spacing w:val="2"/>
            <w:u w:val="none"/>
          </w:rPr>
          <w:t>упаковку</w:t>
        </w:r>
      </w:hyperlink>
      <w:r w:rsidRPr="00AE56F2">
        <w:rPr>
          <w:spacing w:val="2"/>
        </w:rPr>
        <w:t>.</w:t>
      </w:r>
    </w:p>
    <w:p w:rsidR="00AE56F2" w:rsidRPr="00AE56F2" w:rsidRDefault="00AE56F2" w:rsidP="00AE56F2">
      <w:pPr>
        <w:pStyle w:val="formattext"/>
        <w:spacing w:before="0" w:beforeAutospacing="0" w:after="0" w:afterAutospacing="0"/>
        <w:jc w:val="both"/>
        <w:textAlignment w:val="baseline"/>
        <w:rPr>
          <w:spacing w:val="2"/>
        </w:rPr>
      </w:pPr>
      <w:r w:rsidRPr="00AE56F2">
        <w:rPr>
          <w:spacing w:val="2"/>
        </w:rPr>
        <w:t>2. Маркировка изделия должна быть разборчивой, легко читаемой и нанесена на изделие в доступном для осмотра без разборки с применением инструмента месте.</w:t>
      </w:r>
    </w:p>
    <w:p w:rsidR="00AE56F2" w:rsidRPr="00AE56F2" w:rsidRDefault="00AE56F2" w:rsidP="00AE56F2">
      <w:pPr>
        <w:pStyle w:val="formattext"/>
        <w:shd w:val="clear" w:color="auto" w:fill="FFFFFF"/>
        <w:spacing w:before="0" w:beforeAutospacing="0" w:after="0" w:afterAutospacing="0"/>
        <w:jc w:val="both"/>
        <w:textAlignment w:val="baseline"/>
        <w:rPr>
          <w:spacing w:val="2"/>
        </w:rPr>
      </w:pPr>
      <w:r w:rsidRPr="00AE56F2">
        <w:rPr>
          <w:spacing w:val="2"/>
        </w:rPr>
        <w:t>3.</w:t>
      </w:r>
      <w:r w:rsidRPr="00AE56F2">
        <w:rPr>
          <w:rStyle w:val="apple-converted-space"/>
          <w:spacing w:val="2"/>
        </w:rPr>
        <w:t> </w:t>
      </w:r>
      <w:hyperlink r:id="rId8" w:history="1">
        <w:r w:rsidRPr="00AE56F2">
          <w:rPr>
            <w:rStyle w:val="a3"/>
            <w:color w:val="auto"/>
            <w:spacing w:val="2"/>
            <w:u w:val="none"/>
          </w:rPr>
          <w:t>Эксплуатационные документы</w:t>
        </w:r>
      </w:hyperlink>
      <w:r w:rsidRPr="00AE56F2">
        <w:rPr>
          <w:rStyle w:val="apple-converted-space"/>
          <w:spacing w:val="2"/>
        </w:rPr>
        <w:t> </w:t>
      </w:r>
      <w:r w:rsidRPr="00AE56F2">
        <w:rPr>
          <w:spacing w:val="2"/>
        </w:rPr>
        <w:t xml:space="preserve">к изделию должны содержать: информацию, перечисленную в пункте 1; информацию о назначении изделия, характеристики и параметры; 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w:t>
      </w:r>
      <w:r w:rsidRPr="00AE56F2">
        <w:rPr>
          <w:spacing w:val="2"/>
        </w:rPr>
        <w:lastRenderedPageBreak/>
        <w:t>к ним); информацию о мерах, которые следует предпринять при обнаружении неисправности этого изделия; наименование и местонахождение изготовителя (уполномоченного изготовителем лица), импортера, информацию для связи с ними;</w:t>
      </w:r>
      <w:r w:rsidRPr="00AE56F2">
        <w:rPr>
          <w:spacing w:val="2"/>
        </w:rPr>
        <w:br/>
        <w:t>месяц и год изготовления изделия и (или) информацию о месте нанесения и способе определения года изготовления.</w:t>
      </w:r>
    </w:p>
    <w:p w:rsidR="00AE56F2" w:rsidRDefault="00AE56F2" w:rsidP="00AE56F2">
      <w:pPr>
        <w:autoSpaceDE w:val="0"/>
        <w:autoSpaceDN w:val="0"/>
        <w:adjustRightInd w:val="0"/>
        <w:jc w:val="both"/>
        <w:outlineLvl w:val="0"/>
        <w:rPr>
          <w:spacing w:val="2"/>
        </w:rPr>
      </w:pPr>
      <w:r w:rsidRPr="00AE56F2">
        <w:rPr>
          <w:spacing w:val="2"/>
        </w:rPr>
        <w:t>4.</w:t>
      </w:r>
      <w:r w:rsidRPr="00AE56F2">
        <w:rPr>
          <w:rStyle w:val="apple-converted-space"/>
          <w:spacing w:val="2"/>
        </w:rPr>
        <w:t> </w:t>
      </w:r>
      <w:hyperlink r:id="rId9" w:history="1">
        <w:r w:rsidRPr="00AE56F2">
          <w:rPr>
            <w:rStyle w:val="a3"/>
            <w:color w:val="auto"/>
            <w:spacing w:val="2"/>
            <w:u w:val="none"/>
          </w:rPr>
          <w:t>Эксплуатационные документы</w:t>
        </w:r>
      </w:hyperlink>
      <w:r w:rsidRPr="00AE56F2">
        <w:rPr>
          <w:rStyle w:val="apple-converted-space"/>
          <w:spacing w:val="2"/>
        </w:rPr>
        <w:t> </w:t>
      </w:r>
      <w:r w:rsidRPr="00AE56F2">
        <w:rPr>
          <w:spacing w:val="2"/>
        </w:rPr>
        <w:t>выполняются на русском языке и на государственном(</w:t>
      </w:r>
      <w:proofErr w:type="spellStart"/>
      <w:r w:rsidRPr="00AE56F2">
        <w:rPr>
          <w:spacing w:val="2"/>
        </w:rPr>
        <w:t>ых</w:t>
      </w:r>
      <w:proofErr w:type="spellEnd"/>
      <w:r w:rsidRPr="00AE56F2">
        <w:rPr>
          <w:spacing w:val="2"/>
        </w:rPr>
        <w:t>) языке(ах) государства-члена Таможенного союза при наличии соответствующих требований в законодательстве(ах) государства(в)-члена(</w:t>
      </w:r>
      <w:proofErr w:type="spellStart"/>
      <w:r w:rsidRPr="00AE56F2">
        <w:rPr>
          <w:spacing w:val="2"/>
        </w:rPr>
        <w:t>ов</w:t>
      </w:r>
      <w:proofErr w:type="spellEnd"/>
      <w:r w:rsidRPr="00AE56F2">
        <w:rPr>
          <w:spacing w:val="2"/>
        </w:rPr>
        <w:t>) Таможенного союза.</w:t>
      </w:r>
    </w:p>
    <w:p w:rsidR="00AE56F2" w:rsidRPr="00AE56F2" w:rsidRDefault="00AE56F2" w:rsidP="00AE56F2">
      <w:pPr>
        <w:autoSpaceDE w:val="0"/>
        <w:autoSpaceDN w:val="0"/>
        <w:adjustRightInd w:val="0"/>
        <w:jc w:val="both"/>
        <w:outlineLvl w:val="0"/>
        <w:rPr>
          <w:spacing w:val="2"/>
        </w:rPr>
      </w:pPr>
    </w:p>
    <w:p w:rsidR="00AE56F2" w:rsidRPr="00AE56F2" w:rsidRDefault="00AE56F2" w:rsidP="00AE56F2">
      <w:pPr>
        <w:widowControl w:val="0"/>
        <w:autoSpaceDE w:val="0"/>
        <w:ind w:right="140" w:firstLine="558"/>
        <w:jc w:val="both"/>
        <w:rPr>
          <w:rStyle w:val="5"/>
        </w:rPr>
      </w:pPr>
      <w:r w:rsidRPr="00AE56F2">
        <w:t xml:space="preserve">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AE56F2" w:rsidRPr="00AE56F2" w:rsidRDefault="00AE56F2" w:rsidP="00AE56F2">
      <w:pPr>
        <w:shd w:val="clear" w:color="auto" w:fill="FFFFFF"/>
        <w:ind w:firstLine="567"/>
        <w:jc w:val="both"/>
      </w:pPr>
      <w:r w:rsidRPr="00AE56F2">
        <w:t xml:space="preserve">Каждое </w:t>
      </w:r>
      <w:r w:rsidRPr="00AE56F2">
        <w:rPr>
          <w:rFonts w:eastAsia="Lucida Sans Unicode"/>
        </w:rPr>
        <w:t xml:space="preserve">устройство для чтения «говорящих» книг на флэш-картах </w:t>
      </w:r>
      <w:r w:rsidRPr="00AE56F2">
        <w:t>должен быть упаковано в индивидуальную транспортную тару по ГОСТ 5959-80 с внутренней влагонепроницаемой бумагой по ГОСТ 515-77.</w:t>
      </w:r>
    </w:p>
    <w:p w:rsidR="00AE56F2" w:rsidRPr="00AE56F2" w:rsidRDefault="00AE56F2" w:rsidP="00AE56F2">
      <w:pPr>
        <w:widowControl w:val="0"/>
        <w:autoSpaceDE w:val="0"/>
        <w:ind w:right="140" w:firstLine="558"/>
        <w:jc w:val="both"/>
      </w:pPr>
      <w:r w:rsidRPr="00AE56F2">
        <w:t>Транспортирование - любым видом крытого транспорта в соответствии с правилами перевозки грузов, действующим на данном виде транспорта.</w:t>
      </w:r>
    </w:p>
    <w:p w:rsidR="00AE56F2" w:rsidRPr="00AE56F2" w:rsidRDefault="00AE56F2" w:rsidP="00AE56F2">
      <w:pPr>
        <w:widowControl w:val="0"/>
        <w:autoSpaceDE w:val="0"/>
        <w:ind w:right="140" w:firstLine="558"/>
        <w:jc w:val="both"/>
      </w:pPr>
    </w:p>
    <w:p w:rsidR="00AE56F2" w:rsidRPr="00AE56F2" w:rsidRDefault="00AE56F2" w:rsidP="00AE56F2">
      <w:pPr>
        <w:ind w:left="-15"/>
        <w:jc w:val="center"/>
        <w:rPr>
          <w:b/>
        </w:rPr>
      </w:pPr>
      <w:r w:rsidRPr="00AE56F2">
        <w:rPr>
          <w:b/>
        </w:rPr>
        <w:t>Требования к сроку и (или) объему предоставленных гарантий качества товара</w:t>
      </w:r>
    </w:p>
    <w:p w:rsidR="00AE56F2" w:rsidRPr="00AE56F2" w:rsidRDefault="00AE56F2" w:rsidP="00AE56F2">
      <w:pPr>
        <w:widowControl w:val="0"/>
        <w:shd w:val="clear" w:color="auto" w:fill="FFFFFF"/>
        <w:tabs>
          <w:tab w:val="left" w:pos="-360"/>
        </w:tabs>
        <w:autoSpaceDE w:val="0"/>
        <w:ind w:firstLine="705"/>
        <w:jc w:val="both"/>
      </w:pPr>
      <w:r w:rsidRPr="00AE56F2">
        <w:t>Обязательно наличие гарантийных талонов, дающих право на бесплатный ремонт изделия во время гарантийного срока.</w:t>
      </w:r>
    </w:p>
    <w:p w:rsidR="00AE56F2" w:rsidRPr="00AE56F2" w:rsidRDefault="00AE56F2" w:rsidP="00AE56F2">
      <w:pPr>
        <w:widowControl w:val="0"/>
        <w:shd w:val="clear" w:color="auto" w:fill="FFFFFF"/>
        <w:tabs>
          <w:tab w:val="left" w:pos="-360"/>
        </w:tabs>
        <w:autoSpaceDE w:val="0"/>
        <w:ind w:firstLine="705"/>
        <w:jc w:val="both"/>
      </w:pPr>
      <w:r w:rsidRPr="00AE56F2">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AE56F2" w:rsidRPr="00AE56F2" w:rsidRDefault="00AE56F2" w:rsidP="00AE56F2">
      <w:pPr>
        <w:widowControl w:val="0"/>
        <w:shd w:val="clear" w:color="auto" w:fill="FFFFFF"/>
        <w:tabs>
          <w:tab w:val="left" w:pos="-360"/>
        </w:tabs>
        <w:autoSpaceDE w:val="0"/>
        <w:ind w:firstLine="705"/>
        <w:jc w:val="both"/>
      </w:pPr>
      <w:r w:rsidRPr="00AE56F2">
        <w:t>Обеспечение возможности ремонта и технического обслуживания, устранения недостатков при обеспечении инвалидов устройствами для чтения «говорящих» книг на флэш-картах осуществляется в соответствии с Федеральным законом от 07.02.1992 г. № 2300-1 «О защите прав потребителей».</w:t>
      </w:r>
    </w:p>
    <w:p w:rsidR="00AE56F2" w:rsidRPr="00AE56F2" w:rsidRDefault="00AE56F2" w:rsidP="00AE56F2">
      <w:pPr>
        <w:pStyle w:val="Standard"/>
        <w:shd w:val="clear" w:color="auto" w:fill="FFFFFF"/>
        <w:tabs>
          <w:tab w:val="left" w:pos="348"/>
        </w:tabs>
        <w:autoSpaceDE w:val="0"/>
        <w:ind w:firstLine="705"/>
        <w:jc w:val="both"/>
        <w:rPr>
          <w:rFonts w:eastAsia="Arial" w:cs="Arial"/>
          <w:spacing w:val="-3"/>
        </w:rPr>
      </w:pPr>
    </w:p>
    <w:tbl>
      <w:tblPr>
        <w:tblW w:w="10206" w:type="dxa"/>
        <w:tblInd w:w="108" w:type="dxa"/>
        <w:tblLayout w:type="fixed"/>
        <w:tblCellMar>
          <w:left w:w="10" w:type="dxa"/>
          <w:right w:w="10" w:type="dxa"/>
        </w:tblCellMar>
        <w:tblLook w:val="0000" w:firstRow="0" w:lastRow="0" w:firstColumn="0" w:lastColumn="0" w:noHBand="0" w:noVBand="0"/>
      </w:tblPr>
      <w:tblGrid>
        <w:gridCol w:w="3686"/>
        <w:gridCol w:w="6520"/>
      </w:tblGrid>
      <w:tr w:rsidR="00AE56F2" w:rsidRPr="00AE56F2" w:rsidTr="00A47330">
        <w:trPr>
          <w:trHeight w:val="1407"/>
        </w:trPr>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Срок поставки</w:t>
            </w:r>
          </w:p>
        </w:tc>
        <w:tc>
          <w:tcPr>
            <w:tcW w:w="65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shd w:val="clear" w:color="auto" w:fill="FFFFFF"/>
              <w:tabs>
                <w:tab w:val="left" w:pos="708"/>
              </w:tabs>
              <w:autoSpaceDE w:val="0"/>
              <w:snapToGrid w:val="0"/>
              <w:spacing w:line="100" w:lineRule="atLeast"/>
              <w:ind w:left="57" w:right="57"/>
              <w:jc w:val="both"/>
              <w:rPr>
                <w:sz w:val="21"/>
                <w:szCs w:val="21"/>
              </w:rPr>
            </w:pPr>
            <w:r>
              <w:rPr>
                <w:rFonts w:eastAsia="Arial"/>
                <w:spacing w:val="-4"/>
                <w:sz w:val="21"/>
                <w:szCs w:val="21"/>
              </w:rPr>
              <w:t>В течение 2019</w:t>
            </w:r>
            <w:r w:rsidRPr="00AE56F2">
              <w:rPr>
                <w:rFonts w:eastAsia="Arial"/>
                <w:spacing w:val="-4"/>
                <w:sz w:val="21"/>
                <w:szCs w:val="21"/>
              </w:rPr>
              <w:t xml:space="preserve"> года. </w:t>
            </w:r>
            <w:r w:rsidRPr="00AE56F2">
              <w:rPr>
                <w:sz w:val="21"/>
                <w:szCs w:val="21"/>
              </w:rPr>
              <w:t xml:space="preserve">  </w:t>
            </w:r>
          </w:p>
          <w:p w:rsidR="00AE56F2" w:rsidRPr="00AE56F2" w:rsidRDefault="00AE56F2" w:rsidP="00AE56F2">
            <w:pPr>
              <w:shd w:val="clear" w:color="auto" w:fill="FFFFFF"/>
              <w:tabs>
                <w:tab w:val="left" w:pos="708"/>
              </w:tabs>
              <w:autoSpaceDE w:val="0"/>
              <w:snapToGrid w:val="0"/>
              <w:spacing w:line="100" w:lineRule="atLeast"/>
              <w:ind w:left="57" w:right="57"/>
              <w:jc w:val="both"/>
              <w:rPr>
                <w:rFonts w:eastAsia="Arial"/>
                <w:spacing w:val="-4"/>
                <w:sz w:val="21"/>
                <w:szCs w:val="21"/>
              </w:rPr>
            </w:pPr>
            <w:r w:rsidRPr="00AE56F2">
              <w:rPr>
                <w:rFonts w:eastAsia="Arial"/>
                <w:spacing w:val="-4"/>
                <w:sz w:val="21"/>
                <w:szCs w:val="21"/>
              </w:rPr>
              <w:t>Поставка не менее 20 % от общего объема Товара в Ивановскую область в организованные Поставщиком пункты выдачи технических средств реабилитации в течение 5 (Пяти) календарных дней, а остальной объем Товара в течение 20 календарных дней со дня заключения Контракта (</w:t>
            </w:r>
            <w:r w:rsidRPr="00AE56F2">
              <w:rPr>
                <w:sz w:val="21"/>
                <w:szCs w:val="21"/>
              </w:rPr>
              <w:t xml:space="preserve">до </w:t>
            </w:r>
            <w:r>
              <w:rPr>
                <w:sz w:val="21"/>
                <w:szCs w:val="21"/>
              </w:rPr>
              <w:t>01.10.2019</w:t>
            </w:r>
            <w:r w:rsidRPr="00AE56F2">
              <w:rPr>
                <w:sz w:val="21"/>
                <w:szCs w:val="21"/>
              </w:rPr>
              <w:t xml:space="preserve"> должно быть выдано 100% общего объема требуемого Товара</w:t>
            </w:r>
            <w:r w:rsidRPr="00AE56F2">
              <w:rPr>
                <w:rFonts w:eastAsia="Arial"/>
                <w:spacing w:val="-4"/>
                <w:sz w:val="21"/>
                <w:szCs w:val="21"/>
              </w:rPr>
              <w:t xml:space="preserve">). </w:t>
            </w:r>
          </w:p>
        </w:tc>
      </w:tr>
      <w:tr w:rsidR="00AE56F2" w:rsidRPr="00AE56F2" w:rsidTr="00A47330">
        <w:tc>
          <w:tcPr>
            <w:tcW w:w="3686" w:type="dxa"/>
            <w:tcBorders>
              <w:left w:val="single" w:sz="4" w:space="0" w:color="000000"/>
              <w:bottom w:val="single" w:sz="4" w:space="0" w:color="000000"/>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bCs/>
                <w:kern w:val="1"/>
                <w:sz w:val="21"/>
                <w:szCs w:val="21"/>
                <w:lang w:eastAsia="fa-IR" w:bidi="fa-IR"/>
              </w:rPr>
            </w:pPr>
            <w:r w:rsidRPr="00AE56F2">
              <w:rPr>
                <w:rFonts w:eastAsia="Andale Sans UI" w:cs="Tahoma"/>
                <w:b/>
                <w:bCs/>
                <w:kern w:val="1"/>
                <w:sz w:val="21"/>
                <w:szCs w:val="21"/>
                <w:lang w:eastAsia="fa-IR" w:bidi="fa-IR"/>
              </w:rPr>
              <w:t xml:space="preserve">Срок доставки до инвалида </w:t>
            </w:r>
          </w:p>
        </w:tc>
        <w:tc>
          <w:tcPr>
            <w:tcW w:w="65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shd w:val="clear" w:color="auto" w:fill="FFFFFF"/>
              <w:tabs>
                <w:tab w:val="left" w:pos="708"/>
              </w:tabs>
              <w:autoSpaceDE w:val="0"/>
              <w:snapToGrid w:val="0"/>
              <w:spacing w:line="100" w:lineRule="atLeast"/>
              <w:ind w:left="57" w:right="57"/>
              <w:jc w:val="both"/>
              <w:rPr>
                <w:rFonts w:eastAsia="Arial"/>
                <w:spacing w:val="-4"/>
                <w:sz w:val="21"/>
                <w:szCs w:val="21"/>
              </w:rPr>
            </w:pPr>
            <w:r w:rsidRPr="00AE56F2">
              <w:rPr>
                <w:rFonts w:eastAsia="Arial"/>
                <w:spacing w:val="-4"/>
                <w:sz w:val="21"/>
                <w:szCs w:val="21"/>
              </w:rPr>
              <w:t>Срок доставки до инвалида со дня получения поставщиком списка Получателей – не более 20 (Двадцати) календарных дней или со дня обращения инвалида: не более 10 (Десяти) календарных дней.</w:t>
            </w:r>
          </w:p>
        </w:tc>
      </w:tr>
      <w:tr w:rsidR="00AE56F2" w:rsidRPr="00AE56F2" w:rsidTr="00A47330">
        <w:trPr>
          <w:trHeight w:val="508"/>
        </w:trPr>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Место поставки</w:t>
            </w:r>
          </w:p>
        </w:tc>
        <w:tc>
          <w:tcPr>
            <w:tcW w:w="65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snapToGrid w:val="0"/>
              <w:spacing w:line="100" w:lineRule="atLeast"/>
              <w:ind w:left="57" w:right="57"/>
              <w:jc w:val="both"/>
              <w:rPr>
                <w:rFonts w:eastAsia="Arial"/>
                <w:bCs/>
                <w:iCs/>
                <w:spacing w:val="-2"/>
                <w:sz w:val="21"/>
                <w:szCs w:val="21"/>
              </w:rPr>
            </w:pPr>
            <w:r w:rsidRPr="00AE56F2">
              <w:rPr>
                <w:rFonts w:eastAsia="Arial"/>
                <w:bCs/>
                <w:iCs/>
                <w:spacing w:val="-2"/>
                <w:sz w:val="21"/>
                <w:szCs w:val="21"/>
              </w:rPr>
              <w:t xml:space="preserve">Ивановская область. Поставка осуществляется в организованные поставщиком пункты выдачи технических средств реабилитации. </w:t>
            </w:r>
          </w:p>
        </w:tc>
      </w:tr>
      <w:tr w:rsidR="00AE56F2" w:rsidRPr="00AE56F2" w:rsidTr="00A47330">
        <w:trPr>
          <w:trHeight w:val="508"/>
        </w:trPr>
        <w:tc>
          <w:tcPr>
            <w:tcW w:w="3686" w:type="dxa"/>
            <w:tcBorders>
              <w:left w:val="single" w:sz="4" w:space="0" w:color="000000"/>
              <w:bottom w:val="single" w:sz="4" w:space="0" w:color="000000"/>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Условия поставки</w:t>
            </w:r>
          </w:p>
        </w:tc>
        <w:tc>
          <w:tcPr>
            <w:tcW w:w="65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shd w:val="clear" w:color="auto" w:fill="FFFFFF"/>
              <w:tabs>
                <w:tab w:val="left" w:pos="708"/>
              </w:tabs>
              <w:autoSpaceDE w:val="0"/>
              <w:snapToGrid w:val="0"/>
              <w:spacing w:line="100" w:lineRule="atLeast"/>
              <w:ind w:left="57" w:right="57"/>
              <w:jc w:val="both"/>
              <w:rPr>
                <w:rFonts w:eastAsia="Arial"/>
                <w:spacing w:val="-4"/>
                <w:sz w:val="21"/>
                <w:szCs w:val="21"/>
              </w:rPr>
            </w:pPr>
            <w:r w:rsidRPr="00AE56F2">
              <w:rPr>
                <w:rFonts w:eastAsia="Arial"/>
                <w:spacing w:val="-4"/>
                <w:sz w:val="21"/>
                <w:szCs w:val="21"/>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AE56F2" w:rsidRPr="00AE56F2" w:rsidTr="00A47330">
        <w:trPr>
          <w:trHeight w:val="292"/>
        </w:trPr>
        <w:tc>
          <w:tcPr>
            <w:tcW w:w="3686" w:type="dxa"/>
            <w:tcBorders>
              <w:left w:val="single" w:sz="4" w:space="0" w:color="000000"/>
              <w:bottom w:val="single" w:sz="4" w:space="0" w:color="000000"/>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Сроки гарантии</w:t>
            </w:r>
          </w:p>
        </w:tc>
        <w:tc>
          <w:tcPr>
            <w:tcW w:w="65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snapToGrid w:val="0"/>
              <w:spacing w:line="100" w:lineRule="atLeast"/>
              <w:ind w:left="57" w:right="57"/>
              <w:rPr>
                <w:sz w:val="21"/>
                <w:szCs w:val="21"/>
              </w:rPr>
            </w:pPr>
            <w:r w:rsidRPr="00AE56F2">
              <w:rPr>
                <w:sz w:val="21"/>
                <w:szCs w:val="21"/>
              </w:rPr>
              <w:t>не менее 1 (одного) года</w:t>
            </w:r>
          </w:p>
        </w:tc>
      </w:tr>
      <w:tr w:rsidR="00AE56F2" w:rsidRPr="00AE56F2" w:rsidTr="00A47330">
        <w:trPr>
          <w:trHeight w:val="508"/>
        </w:trPr>
        <w:tc>
          <w:tcPr>
            <w:tcW w:w="3686" w:type="dxa"/>
            <w:tcBorders>
              <w:left w:val="single" w:sz="4" w:space="0" w:color="000000"/>
              <w:bottom w:val="single" w:sz="4" w:space="0" w:color="auto"/>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Срок службы</w:t>
            </w:r>
          </w:p>
        </w:tc>
        <w:tc>
          <w:tcPr>
            <w:tcW w:w="65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E56F2" w:rsidRPr="00AE56F2" w:rsidRDefault="00AE56F2" w:rsidP="00A47330">
            <w:pPr>
              <w:keepNext/>
              <w:widowControl w:val="0"/>
              <w:tabs>
                <w:tab w:val="left" w:pos="120"/>
              </w:tabs>
              <w:autoSpaceDE w:val="0"/>
              <w:snapToGrid w:val="0"/>
              <w:spacing w:line="100" w:lineRule="atLeast"/>
              <w:ind w:left="57" w:right="57"/>
              <w:jc w:val="both"/>
              <w:rPr>
                <w:rFonts w:eastAsia="Arial"/>
                <w:sz w:val="21"/>
                <w:szCs w:val="21"/>
                <w:lang w:eastAsia="hi-IN" w:bidi="hi-IN"/>
              </w:rPr>
            </w:pPr>
            <w:r w:rsidRPr="00AE56F2">
              <w:rPr>
                <w:rFonts w:eastAsia="Arial"/>
                <w:sz w:val="21"/>
                <w:szCs w:val="21"/>
                <w:lang w:eastAsia="hi-IN" w:bidi="hi-IN"/>
              </w:rPr>
              <w:t>не менее 7 (семи) лет</w:t>
            </w:r>
          </w:p>
        </w:tc>
      </w:tr>
      <w:tr w:rsidR="00AE56F2" w:rsidRPr="00AE56F2" w:rsidTr="00A47330">
        <w:trPr>
          <w:trHeight w:val="508"/>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Срок гарантийного ремонта со дня обращения инвалида</w:t>
            </w:r>
          </w:p>
        </w:tc>
        <w:tc>
          <w:tcPr>
            <w:tcW w:w="652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keepNext/>
              <w:widowControl w:val="0"/>
              <w:tabs>
                <w:tab w:val="left" w:pos="120"/>
              </w:tabs>
              <w:autoSpaceDE w:val="0"/>
              <w:snapToGrid w:val="0"/>
              <w:spacing w:line="100" w:lineRule="atLeast"/>
              <w:ind w:left="57" w:right="57"/>
              <w:rPr>
                <w:rFonts w:eastAsia="Arial"/>
                <w:sz w:val="21"/>
                <w:szCs w:val="21"/>
                <w:lang w:eastAsia="ar-SA"/>
              </w:rPr>
            </w:pPr>
            <w:r w:rsidRPr="00AE56F2">
              <w:rPr>
                <w:rFonts w:eastAsia="Arial"/>
                <w:sz w:val="21"/>
                <w:szCs w:val="21"/>
                <w:lang w:eastAsia="hi-IN" w:bidi="hi-IN"/>
              </w:rPr>
              <w:t>не должен превышать 20 рабочих дней</w:t>
            </w:r>
          </w:p>
        </w:tc>
      </w:tr>
      <w:tr w:rsidR="00AE56F2" w:rsidRPr="00AE56F2" w:rsidTr="00A47330">
        <w:trPr>
          <w:trHeight w:val="443"/>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6F2" w:rsidRPr="00AE56F2" w:rsidRDefault="00AE56F2" w:rsidP="00A47330">
            <w:pPr>
              <w:keepNext/>
              <w:widowControl w:val="0"/>
              <w:snapToGrid w:val="0"/>
              <w:spacing w:line="100" w:lineRule="atLeast"/>
              <w:jc w:val="center"/>
              <w:textAlignment w:val="baseline"/>
              <w:rPr>
                <w:rFonts w:eastAsia="Andale Sans UI" w:cs="Tahoma"/>
                <w:b/>
                <w:kern w:val="1"/>
                <w:sz w:val="21"/>
                <w:szCs w:val="21"/>
                <w:lang w:eastAsia="fa-IR" w:bidi="fa-IR"/>
              </w:rPr>
            </w:pPr>
            <w:r w:rsidRPr="00AE56F2">
              <w:rPr>
                <w:rFonts w:eastAsia="Andale Sans UI" w:cs="Tahoma"/>
                <w:b/>
                <w:kern w:val="1"/>
                <w:sz w:val="21"/>
                <w:szCs w:val="21"/>
                <w:lang w:eastAsia="fa-IR" w:bidi="fa-IR"/>
              </w:rPr>
              <w:t>Соответствие ГОСТ</w:t>
            </w:r>
          </w:p>
        </w:tc>
        <w:tc>
          <w:tcPr>
            <w:tcW w:w="652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AE56F2" w:rsidRPr="00AE56F2" w:rsidRDefault="00AE56F2" w:rsidP="00A47330">
            <w:pPr>
              <w:keepNext/>
              <w:widowControl w:val="0"/>
              <w:tabs>
                <w:tab w:val="left" w:pos="120"/>
              </w:tabs>
              <w:autoSpaceDE w:val="0"/>
              <w:snapToGrid w:val="0"/>
              <w:spacing w:line="100" w:lineRule="atLeast"/>
              <w:ind w:left="57" w:right="57"/>
              <w:rPr>
                <w:rFonts w:eastAsia="Arial"/>
                <w:sz w:val="21"/>
                <w:szCs w:val="21"/>
                <w:lang w:eastAsia="hi-IN" w:bidi="hi-IN"/>
              </w:rPr>
            </w:pPr>
            <w:r w:rsidRPr="00AE56F2">
              <w:rPr>
                <w:rFonts w:eastAsia="Arial"/>
                <w:sz w:val="21"/>
                <w:szCs w:val="21"/>
                <w:lang w:eastAsia="hi-IN" w:bidi="hi-IN"/>
              </w:rPr>
              <w:t>ТР ТС 004/2011, ТР ТС 020/2011</w:t>
            </w:r>
          </w:p>
        </w:tc>
      </w:tr>
    </w:tbl>
    <w:p w:rsidR="00AE56F2" w:rsidRPr="00AE56F2" w:rsidRDefault="00AE56F2" w:rsidP="00AE56F2">
      <w:pPr>
        <w:widowControl w:val="0"/>
        <w:shd w:val="clear" w:color="auto" w:fill="FFFFFF"/>
        <w:tabs>
          <w:tab w:val="left" w:pos="348"/>
        </w:tabs>
        <w:autoSpaceDE w:val="0"/>
        <w:jc w:val="both"/>
        <w:textAlignment w:val="baseline"/>
        <w:rPr>
          <w:rFonts w:eastAsia="Arial" w:cs="Arial"/>
          <w:b/>
          <w:bCs/>
          <w:kern w:val="1"/>
          <w:lang w:eastAsia="fa-IR" w:bidi="fa-IR"/>
        </w:rPr>
      </w:pPr>
    </w:p>
    <w:p w:rsidR="00D23629" w:rsidRPr="00AE56F2" w:rsidRDefault="00D23629">
      <w:bookmarkStart w:id="0" w:name="_GoBack"/>
      <w:bookmarkEnd w:id="0"/>
    </w:p>
    <w:sectPr w:rsidR="00D23629" w:rsidRPr="00AE56F2" w:rsidSect="00AE56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F2"/>
    <w:rsid w:val="007B5455"/>
    <w:rsid w:val="00AE56F2"/>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6C57-5C02-42F4-A6E2-5D08C22D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6F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E56F2"/>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0"/>
    <w:link w:val="1"/>
    <w:rsid w:val="00AE56F2"/>
    <w:rPr>
      <w:rFonts w:ascii="Times New Roman" w:eastAsia="Times New Roman" w:hAnsi="Times New Roman" w:cs="Times New Roman"/>
      <w:b/>
      <w:bCs/>
      <w:i/>
      <w:kern w:val="32"/>
      <w:sz w:val="40"/>
      <w:szCs w:val="40"/>
      <w:lang w:eastAsia="ru-RU"/>
    </w:rPr>
  </w:style>
  <w:style w:type="character" w:styleId="a3">
    <w:name w:val="Hyperlink"/>
    <w:aliases w:val="%Hyperlink"/>
    <w:rsid w:val="00AE56F2"/>
    <w:rPr>
      <w:color w:val="0000FF"/>
      <w:u w:val="single"/>
    </w:rPr>
  </w:style>
  <w:style w:type="paragraph" w:styleId="a4">
    <w:name w:val="Title"/>
    <w:basedOn w:val="a"/>
    <w:link w:val="a5"/>
    <w:qFormat/>
    <w:rsid w:val="00AE56F2"/>
    <w:pPr>
      <w:jc w:val="center"/>
    </w:pPr>
    <w:rPr>
      <w:b/>
      <w:sz w:val="26"/>
      <w:szCs w:val="20"/>
    </w:rPr>
  </w:style>
  <w:style w:type="character" w:customStyle="1" w:styleId="a5">
    <w:name w:val="Название Знак"/>
    <w:basedOn w:val="a0"/>
    <w:link w:val="a4"/>
    <w:rsid w:val="00AE56F2"/>
    <w:rPr>
      <w:rFonts w:ascii="Times New Roman" w:eastAsia="Times New Roman" w:hAnsi="Times New Roman" w:cs="Times New Roman"/>
      <w:b/>
      <w:sz w:val="26"/>
      <w:szCs w:val="20"/>
      <w:lang w:eastAsia="ru-RU"/>
    </w:rPr>
  </w:style>
  <w:style w:type="paragraph" w:styleId="a6">
    <w:name w:val="Normal (Web)"/>
    <w:aliases w:val="Обычный (Web)"/>
    <w:basedOn w:val="a"/>
    <w:rsid w:val="00AE56F2"/>
  </w:style>
  <w:style w:type="character" w:customStyle="1" w:styleId="apple-converted-space">
    <w:name w:val="apple-converted-space"/>
    <w:basedOn w:val="a0"/>
    <w:rsid w:val="00AE56F2"/>
  </w:style>
  <w:style w:type="paragraph" w:customStyle="1" w:styleId="Standard">
    <w:name w:val="Standard"/>
    <w:rsid w:val="00AE56F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a7">
    <w:name w:val="Содержимое таблицы"/>
    <w:basedOn w:val="a"/>
    <w:rsid w:val="00AE56F2"/>
    <w:pPr>
      <w:suppressLineNumbers/>
      <w:suppressAutoHyphens/>
    </w:pPr>
    <w:rPr>
      <w:lang w:eastAsia="ar-SA"/>
    </w:rPr>
  </w:style>
  <w:style w:type="character" w:customStyle="1" w:styleId="2">
    <w:name w:val="Основной шрифт абзаца2"/>
    <w:rsid w:val="00AE56F2"/>
  </w:style>
  <w:style w:type="character" w:customStyle="1" w:styleId="5">
    <w:name w:val="Основной шрифт абзаца5"/>
    <w:rsid w:val="00AE56F2"/>
  </w:style>
  <w:style w:type="character" w:customStyle="1" w:styleId="ArialUnicodeMS95pt">
    <w:name w:val="Основной текст + Arial Unicode MS;9;5 pt"/>
    <w:basedOn w:val="a0"/>
    <w:rsid w:val="00AE56F2"/>
    <w:rPr>
      <w:rFonts w:ascii="Arial Unicode MS" w:eastAsia="Arial Unicode MS" w:hAnsi="Arial Unicode MS" w:cs="Arial Unicode MS"/>
      <w:b w:val="0"/>
      <w:bCs w:val="0"/>
      <w:i w:val="0"/>
      <w:iCs w:val="0"/>
      <w:smallCaps w:val="0"/>
      <w:strike w:val="0"/>
      <w:snapToGrid/>
      <w:color w:val="000000"/>
      <w:spacing w:val="0"/>
      <w:w w:val="100"/>
      <w:position w:val="0"/>
      <w:sz w:val="19"/>
      <w:szCs w:val="19"/>
      <w:u w:val="none"/>
      <w:shd w:val="clear" w:color="auto" w:fill="FFFFFF"/>
      <w:lang w:val="ru-RU"/>
    </w:rPr>
  </w:style>
  <w:style w:type="paragraph" w:customStyle="1" w:styleId="formattext">
    <w:name w:val="formattext"/>
    <w:basedOn w:val="a"/>
    <w:rsid w:val="00AE56F2"/>
    <w:pPr>
      <w:spacing w:before="100" w:beforeAutospacing="1" w:after="100" w:afterAutospacing="1"/>
    </w:pPr>
  </w:style>
  <w:style w:type="paragraph" w:customStyle="1" w:styleId="headertext">
    <w:name w:val="headertext"/>
    <w:basedOn w:val="a"/>
    <w:rsid w:val="00AE56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9536" TargetMode="External"/><Relationship Id="rId3" Type="http://schemas.openxmlformats.org/officeDocument/2006/relationships/webSettings" Target="webSettings.xml"/><Relationship Id="rId7" Type="http://schemas.openxmlformats.org/officeDocument/2006/relationships/hyperlink" Target="http://docs.cntd.ru/document/9022995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99536" TargetMode="External"/><Relationship Id="rId11" Type="http://schemas.openxmlformats.org/officeDocument/2006/relationships/theme" Target="theme/theme1.xml"/><Relationship Id="rId5" Type="http://schemas.openxmlformats.org/officeDocument/2006/relationships/hyperlink" Target="http://docs.cntd.ru/document/902299536" TargetMode="External"/><Relationship Id="rId10" Type="http://schemas.openxmlformats.org/officeDocument/2006/relationships/fontTable" Target="fontTable.xml"/><Relationship Id="rId4" Type="http://schemas.openxmlformats.org/officeDocument/2006/relationships/hyperlink" Target="http://docs.cntd.ru/document/902299536" TargetMode="External"/><Relationship Id="rId9" Type="http://schemas.openxmlformats.org/officeDocument/2006/relationships/hyperlink" Target="http://docs.cntd.ru/document/902299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2018-12-19T08:58:00Z</dcterms:created>
  <dcterms:modified xsi:type="dcterms:W3CDTF">2018-12-19T09:17:00Z</dcterms:modified>
</cp:coreProperties>
</file>