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31183" w:rsidRPr="00631183" w:rsidRDefault="00686735" w:rsidP="00541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(для пациентов со средним уровнем активности</w:t>
            </w:r>
            <w:r w:rsidR="00541370">
              <w:rPr>
                <w:rFonts w:ascii="Times New Roman" w:hAnsi="Times New Roman" w:cs="Times New Roman"/>
                <w:sz w:val="24"/>
                <w:szCs w:val="24"/>
              </w:rPr>
              <w:t>, с креплением за счет поддерживающего бандажа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686735" w:rsidP="006311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ортопедические,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крепление за счет поддерживающего бандажа, стопа с повышенной упругостью носочной части, коленный шарнир полицентрический с пневматическим управлением фазы переноса. Для пациентов со средним уровнем активности.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BD5687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31183" w:rsidRPr="00631183" w:rsidRDefault="00686735" w:rsidP="002C35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2C352D">
              <w:rPr>
                <w:rFonts w:ascii="Times New Roman" w:hAnsi="Times New Roman" w:cs="Times New Roman"/>
                <w:sz w:val="24"/>
                <w:szCs w:val="24"/>
              </w:rPr>
              <w:t xml:space="preserve"> (для пациентов с высоким уровнем активности</w:t>
            </w:r>
            <w:r w:rsidR="00541370">
              <w:rPr>
                <w:rFonts w:ascii="Times New Roman" w:hAnsi="Times New Roman" w:cs="Times New Roman"/>
                <w:sz w:val="24"/>
                <w:szCs w:val="24"/>
              </w:rPr>
              <w:t>, с креплением за счет вакуума силиконового чехла)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B04549" w:rsidP="00B04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смол. Протез крепится на культе. Крепление за счет вакуума силиконового чехла. Стопа рассчитана на высокий уровень активности пациентов, высокий уровень энергосбережения. Конструкция стопы позволяет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подбирать  жесткость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зависимости от веса пациента. Модульный гидравлический пятизвенный коленный шарнир, имеет независимый механизм регулирования фазы сгибания и разгибания.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BD5687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A43EE" w:rsidRPr="00631183" w:rsidRDefault="00541370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(с креплением за счет замкового устройства)</w:t>
            </w:r>
          </w:p>
        </w:tc>
        <w:tc>
          <w:tcPr>
            <w:tcW w:w="6379" w:type="dxa"/>
            <w:shd w:val="clear" w:color="auto" w:fill="auto"/>
          </w:tcPr>
          <w:p w:rsidR="007A43EE" w:rsidRPr="00631183" w:rsidRDefault="00541370" w:rsidP="005413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с мягкой полиуретановой облицовкой (листовой поролон),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крепление за счет замкового устройства полимерного чехла.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голеностопным шарниром, подвижным в сагиттальной плоскости, со сменным пяточным амортизатором.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157746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57746" w:rsidRPr="00631183" w:rsidRDefault="00541370" w:rsidP="00282B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</w:t>
            </w:r>
            <w:r w:rsidR="00282B9F">
              <w:rPr>
                <w:rFonts w:ascii="Times New Roman" w:hAnsi="Times New Roman" w:cs="Times New Roman"/>
                <w:sz w:val="24"/>
                <w:szCs w:val="24"/>
              </w:rPr>
              <w:t xml:space="preserve"> (для пациентов со средним уровнем активности, с креплением за счет полимерного чехла)</w:t>
            </w:r>
          </w:p>
        </w:tc>
        <w:tc>
          <w:tcPr>
            <w:tcW w:w="6379" w:type="dxa"/>
            <w:shd w:val="clear" w:color="auto" w:fill="auto"/>
          </w:tcPr>
          <w:p w:rsidR="00157746" w:rsidRPr="00631183" w:rsidRDefault="00282B9F" w:rsidP="00282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крепление за счет полимерного чехла.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Стопа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упругостью носочной части, коленный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полицентрический с пневматическим управлением фазы переноса. Для пациентов со средним уровнем активности.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AB7FCB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4F57AE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282B9F" w:rsidP="00282B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</w:t>
            </w:r>
            <w:r w:rsidR="00E94406">
              <w:rPr>
                <w:rFonts w:ascii="Times New Roman" w:hAnsi="Times New Roman" w:cs="Times New Roman"/>
                <w:sz w:val="24"/>
                <w:szCs w:val="24"/>
              </w:rPr>
              <w:t xml:space="preserve">стопа с высокими функциональными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пациентов с высоким уровнем активности, с креплением за счет замкового устройства полимерного чехла)</w:t>
            </w:r>
          </w:p>
        </w:tc>
        <w:tc>
          <w:tcPr>
            <w:tcW w:w="6379" w:type="dxa"/>
            <w:shd w:val="clear" w:color="auto" w:fill="auto"/>
          </w:tcPr>
          <w:p w:rsidR="004F57AE" w:rsidRPr="00631183" w:rsidRDefault="00282B9F" w:rsidP="00282B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модули титановые, стопа с высокими функциональными возможностями, энергосберегающая, для пациентов с высоким уровнем активности. Крепление за счет замкового устройства полимерного чехла.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AB7FCB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257E42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E94406" w:rsidP="0063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(стопа с осевой компрессией, ступенчатой упругостью для инвалидов со средним и высоким уровнями активности)</w:t>
            </w:r>
          </w:p>
        </w:tc>
        <w:tc>
          <w:tcPr>
            <w:tcW w:w="6379" w:type="dxa"/>
            <w:shd w:val="clear" w:color="auto" w:fill="auto"/>
          </w:tcPr>
          <w:p w:rsidR="004F57AE" w:rsidRPr="00631183" w:rsidRDefault="00E94406" w:rsidP="00E944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с полимерным чехлом, модули титановые, стопа с осевой компрессией, ступенчатой упругостью для компенсации неровностей почвы для инвалидов со средним и высоким уровнями активности. Крепление за счет замкового устройства полимерного чехла.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631183" w:rsidRDefault="005B3348" w:rsidP="00FB793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Протез бедра модульный</w:t>
            </w:r>
            <w:r w:rsidR="00FB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>для пациентов с высоким уровнем активности, с креплением за счет вакуума)</w:t>
            </w:r>
          </w:p>
        </w:tc>
        <w:tc>
          <w:tcPr>
            <w:tcW w:w="6379" w:type="dxa"/>
            <w:shd w:val="clear" w:color="auto" w:fill="auto"/>
          </w:tcPr>
          <w:p w:rsidR="00FB4209" w:rsidRPr="00631183" w:rsidRDefault="005B3348" w:rsidP="00FB7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с мягкой модульной полиуретановой облицовкой, косметическое покрытие облицовки – чулки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Протез крепится на культе, крепление за счет вакуума. Стопа рассчитана на высокий уровень активности пациентов, высокий уровень энергосбережения. Конструкция стопы позволяет подбирать жесткость </w:t>
            </w:r>
            <w:proofErr w:type="spellStart"/>
            <w:r w:rsidR="00FB7931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="00FB793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зависимости от веса пациента. Модульный гидравлический однозвенный коленный шарнир, имеет независимый механизм регулирования фазы сгибания и разгибания.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04D6" w:rsidRPr="007A43EE" w:rsidTr="0066182F">
        <w:tc>
          <w:tcPr>
            <w:tcW w:w="567" w:type="dxa"/>
            <w:shd w:val="clear" w:color="auto" w:fill="auto"/>
          </w:tcPr>
          <w:p w:rsidR="003804D6" w:rsidRDefault="003804D6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804D6" w:rsidRDefault="003804D6" w:rsidP="003804D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(без косметической облицовки, для пациентов со средним и высоким уровнями активности)</w:t>
            </w:r>
          </w:p>
        </w:tc>
        <w:tc>
          <w:tcPr>
            <w:tcW w:w="6379" w:type="dxa"/>
            <w:shd w:val="clear" w:color="auto" w:fill="auto"/>
          </w:tcPr>
          <w:p w:rsidR="003804D6" w:rsidRDefault="003804D6" w:rsidP="00380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 голени, без косметической облицовки. Приемная гильза индивидуальная (изготовленная по слепку с культи инвалида): одна пробная приемная гильза из листового термопласта, постоянная гильза – литьевой слоистый пластик на основе акриловых смол, крепление за счет полимерного наколенника, стопа с решетчатым профилем и отведенным большим пальцем.  Для пациентов со средним и высоким уровнями активности. Полуфабрикаты водостойкие.</w:t>
            </w:r>
          </w:p>
        </w:tc>
        <w:tc>
          <w:tcPr>
            <w:tcW w:w="1075" w:type="dxa"/>
            <w:shd w:val="clear" w:color="auto" w:fill="auto"/>
          </w:tcPr>
          <w:p w:rsidR="003804D6" w:rsidRDefault="00AB7FCB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AB7FCB">
        <w:trPr>
          <w:trHeight w:val="175"/>
        </w:trPr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AB7FCB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Выполнение работ по изготовлению Изделий должно осуществляться после предоставления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50267.0-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</w:tbl>
    <w:p w:rsidR="0068219F" w:rsidRDefault="0068219F" w:rsidP="005E3320">
      <w:bookmarkStart w:id="0" w:name="_GoBack"/>
      <w:bookmarkEnd w:id="0"/>
    </w:p>
    <w:sectPr w:rsidR="0068219F" w:rsidSect="005E3320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BB" w:rsidRDefault="00D52BBB">
      <w:pPr>
        <w:spacing w:after="0" w:line="240" w:lineRule="auto"/>
      </w:pPr>
      <w:r>
        <w:separator/>
      </w:r>
    </w:p>
  </w:endnote>
  <w:endnote w:type="continuationSeparator" w:id="0">
    <w:p w:rsidR="00D52BBB" w:rsidRDefault="00D5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BB" w:rsidRDefault="00D52BBB">
      <w:pPr>
        <w:spacing w:after="0" w:line="240" w:lineRule="auto"/>
      </w:pPr>
      <w:r>
        <w:separator/>
      </w:r>
    </w:p>
  </w:footnote>
  <w:footnote w:type="continuationSeparator" w:id="0">
    <w:p w:rsidR="00D52BBB" w:rsidRDefault="00D5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D52BBB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2B9F"/>
    <w:rsid w:val="0028617B"/>
    <w:rsid w:val="00287300"/>
    <w:rsid w:val="002A0647"/>
    <w:rsid w:val="002B3B16"/>
    <w:rsid w:val="002B5E49"/>
    <w:rsid w:val="002C352D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4D6"/>
    <w:rsid w:val="00380F97"/>
    <w:rsid w:val="00391680"/>
    <w:rsid w:val="0039214F"/>
    <w:rsid w:val="00394985"/>
    <w:rsid w:val="003A6E20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53506"/>
    <w:rsid w:val="00555CF0"/>
    <w:rsid w:val="00557970"/>
    <w:rsid w:val="0056669F"/>
    <w:rsid w:val="00570855"/>
    <w:rsid w:val="005B3348"/>
    <w:rsid w:val="005D125D"/>
    <w:rsid w:val="005D73E2"/>
    <w:rsid w:val="005E08AC"/>
    <w:rsid w:val="005E0D47"/>
    <w:rsid w:val="005E3320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86735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BF"/>
    <w:rsid w:val="00914F06"/>
    <w:rsid w:val="009206D5"/>
    <w:rsid w:val="00932B61"/>
    <w:rsid w:val="00957A00"/>
    <w:rsid w:val="00974049"/>
    <w:rsid w:val="009838DA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764B"/>
    <w:rsid w:val="00AA6E29"/>
    <w:rsid w:val="00AB7FCB"/>
    <w:rsid w:val="00AC0431"/>
    <w:rsid w:val="00AC1748"/>
    <w:rsid w:val="00AC6EB8"/>
    <w:rsid w:val="00AE4B42"/>
    <w:rsid w:val="00B03A71"/>
    <w:rsid w:val="00B04549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4C08"/>
    <w:rsid w:val="00BD5687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C7944"/>
    <w:rsid w:val="00CE28F4"/>
    <w:rsid w:val="00CF1D0F"/>
    <w:rsid w:val="00CF712E"/>
    <w:rsid w:val="00CF776C"/>
    <w:rsid w:val="00D06D8E"/>
    <w:rsid w:val="00D148AB"/>
    <w:rsid w:val="00D327F9"/>
    <w:rsid w:val="00D52BBB"/>
    <w:rsid w:val="00D561C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4406"/>
    <w:rsid w:val="00E96FFE"/>
    <w:rsid w:val="00ED1F76"/>
    <w:rsid w:val="00ED3F78"/>
    <w:rsid w:val="00ED4C79"/>
    <w:rsid w:val="00F00233"/>
    <w:rsid w:val="00F252A6"/>
    <w:rsid w:val="00F47F72"/>
    <w:rsid w:val="00F56252"/>
    <w:rsid w:val="00F805DB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158</cp:revision>
  <cp:lastPrinted>2018-12-26T14:17:00Z</cp:lastPrinted>
  <dcterms:created xsi:type="dcterms:W3CDTF">2018-12-26T13:20:00Z</dcterms:created>
  <dcterms:modified xsi:type="dcterms:W3CDTF">2019-01-09T14:38:00Z</dcterms:modified>
</cp:coreProperties>
</file>