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4E" w:rsidRPr="00DE47FF" w:rsidRDefault="00970A4E" w:rsidP="00970A4E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/>
          <w:bCs/>
          <w:sz w:val="23"/>
          <w:szCs w:val="23"/>
          <w:lang w:eastAsia="ar-SA"/>
        </w:rPr>
      </w:pPr>
      <w:r w:rsidRPr="00DE47FF">
        <w:rPr>
          <w:rFonts w:ascii="Times New Roman" w:eastAsia="Times New Roman" w:hAnsi="Times New Roman"/>
          <w:bCs/>
          <w:sz w:val="23"/>
          <w:szCs w:val="23"/>
          <w:lang w:eastAsia="ar-SA"/>
        </w:rPr>
        <w:t>Техническое задание</w:t>
      </w:r>
    </w:p>
    <w:p w:rsidR="00F44AD9" w:rsidRPr="00DE47FF" w:rsidRDefault="00970A4E" w:rsidP="005D35E3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/>
          <w:bCs/>
          <w:sz w:val="23"/>
          <w:szCs w:val="23"/>
          <w:lang w:eastAsia="ar-SA"/>
        </w:rPr>
      </w:pPr>
      <w:r w:rsidRPr="00DE47FF">
        <w:rPr>
          <w:rFonts w:ascii="Times New Roman" w:eastAsia="Times New Roman" w:hAnsi="Times New Roman"/>
          <w:bCs/>
          <w:sz w:val="23"/>
          <w:szCs w:val="23"/>
          <w:lang w:eastAsia="ar-SA"/>
        </w:rPr>
        <w:t xml:space="preserve">Поставка </w:t>
      </w:r>
      <w:r w:rsidRPr="00DE47FF">
        <w:rPr>
          <w:rFonts w:ascii="Times New Roman" w:eastAsia="Times New Roman" w:hAnsi="Times New Roman"/>
          <w:color w:val="000000"/>
          <w:spacing w:val="-4"/>
          <w:sz w:val="23"/>
          <w:szCs w:val="23"/>
          <w:lang w:eastAsia="ar-SA"/>
        </w:rPr>
        <w:t>специальных сре</w:t>
      </w:r>
      <w:proofErr w:type="gramStart"/>
      <w:r w:rsidRPr="00DE47FF">
        <w:rPr>
          <w:rFonts w:ascii="Times New Roman" w:eastAsia="Times New Roman" w:hAnsi="Times New Roman"/>
          <w:color w:val="000000"/>
          <w:spacing w:val="-4"/>
          <w:sz w:val="23"/>
          <w:szCs w:val="23"/>
          <w:lang w:eastAsia="ar-SA"/>
        </w:rPr>
        <w:t>дств пр</w:t>
      </w:r>
      <w:proofErr w:type="gramEnd"/>
      <w:r w:rsidRPr="00DE47FF">
        <w:rPr>
          <w:rFonts w:ascii="Times New Roman" w:eastAsia="Times New Roman" w:hAnsi="Times New Roman"/>
          <w:color w:val="000000"/>
          <w:spacing w:val="-4"/>
          <w:sz w:val="23"/>
          <w:szCs w:val="23"/>
          <w:lang w:eastAsia="ar-SA"/>
        </w:rPr>
        <w:t xml:space="preserve">и нарушении функции выделения </w:t>
      </w:r>
      <w:r w:rsidRPr="00DE47FF">
        <w:rPr>
          <w:rFonts w:ascii="Times New Roman" w:eastAsia="Times New Roman" w:hAnsi="Times New Roman"/>
          <w:bCs/>
          <w:sz w:val="23"/>
          <w:szCs w:val="23"/>
          <w:lang w:eastAsia="ar-SA"/>
        </w:rPr>
        <w:t>для инвалидов</w:t>
      </w:r>
    </w:p>
    <w:tbl>
      <w:tblPr>
        <w:tblStyle w:val="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  <w:gridCol w:w="1099"/>
      </w:tblGrid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3" w:rsidRPr="005D35E3" w:rsidRDefault="005D35E3" w:rsidP="00E054EA">
            <w:pPr>
              <w:widowControl w:val="0"/>
              <w:jc w:val="center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№ </w:t>
            </w:r>
            <w:proofErr w:type="gramStart"/>
            <w:r w:rsidRPr="005D35E3">
              <w:rPr>
                <w:sz w:val="21"/>
                <w:szCs w:val="21"/>
                <w:lang w:eastAsia="ar-SA"/>
              </w:rPr>
              <w:t>п</w:t>
            </w:r>
            <w:proofErr w:type="gramEnd"/>
            <w:r w:rsidRPr="005D35E3">
              <w:rPr>
                <w:sz w:val="21"/>
                <w:szCs w:val="21"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3" w:rsidRPr="005D35E3" w:rsidRDefault="005D35E3" w:rsidP="00E054EA">
            <w:pPr>
              <w:widowControl w:val="0"/>
              <w:jc w:val="center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  <w:lang w:eastAsia="ar-SA"/>
              </w:rPr>
              <w:t>Наименование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3" w:rsidRPr="005D35E3" w:rsidRDefault="005D35E3" w:rsidP="00E054EA">
            <w:pPr>
              <w:widowControl w:val="0"/>
              <w:jc w:val="center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Описание функциональных и технических характеристик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3" w:rsidRPr="005D35E3" w:rsidRDefault="005D35E3" w:rsidP="00E054EA">
            <w:pPr>
              <w:widowControl w:val="0"/>
              <w:jc w:val="center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Количество, шт.</w:t>
            </w:r>
          </w:p>
        </w:tc>
      </w:tr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454E90">
            <w:pPr>
              <w:widowControl w:val="0"/>
              <w:tabs>
                <w:tab w:val="left" w:pos="473"/>
              </w:tabs>
              <w:suppressAutoHyphens/>
              <w:snapToGrid w:val="0"/>
              <w:ind w:left="33" w:right="-15"/>
              <w:jc w:val="center"/>
              <w:rPr>
                <w:sz w:val="21"/>
                <w:szCs w:val="21"/>
                <w:lang w:eastAsia="ar-SA"/>
              </w:rPr>
            </w:pPr>
            <w:proofErr w:type="spellStart"/>
            <w:r w:rsidRPr="005D35E3">
              <w:rPr>
                <w:sz w:val="21"/>
                <w:szCs w:val="21"/>
                <w:lang w:eastAsia="ar-SA"/>
              </w:rPr>
              <w:t>Уропрезерватив</w:t>
            </w:r>
            <w:proofErr w:type="spellEnd"/>
            <w:r w:rsidR="00454E90">
              <w:rPr>
                <w:sz w:val="21"/>
                <w:szCs w:val="21"/>
                <w:lang w:eastAsia="ar-SA"/>
              </w:rPr>
              <w:t xml:space="preserve"> </w:t>
            </w:r>
            <w:r w:rsidRPr="005D35E3">
              <w:rPr>
                <w:sz w:val="21"/>
                <w:szCs w:val="21"/>
                <w:lang w:eastAsia="ar-SA"/>
              </w:rPr>
              <w:t>с пластырем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5D35E3">
              <w:rPr>
                <w:sz w:val="21"/>
                <w:szCs w:val="21"/>
                <w:lang w:eastAsia="ar-SA"/>
              </w:rPr>
              <w:t>Уропрезервативы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различных размеров от 20 до 40 мм (участником электронного аукциона указывается размерный ряд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уропрезервативов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) с пластырем. </w:t>
            </w:r>
          </w:p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AD0769" w:rsidP="00E054EA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15</w:t>
            </w:r>
            <w:r w:rsidR="005D35E3" w:rsidRPr="005D35E3">
              <w:rPr>
                <w:sz w:val="21"/>
                <w:szCs w:val="21"/>
                <w:lang w:eastAsia="ar-SA"/>
              </w:rPr>
              <w:t>00</w:t>
            </w:r>
          </w:p>
        </w:tc>
      </w:tr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-235"/>
                <w:tab w:val="left" w:pos="453"/>
                <w:tab w:val="left" w:pos="505"/>
              </w:tabs>
              <w:suppressAutoHyphens/>
              <w:snapToGrid w:val="0"/>
              <w:ind w:left="33" w:right="-15"/>
              <w:jc w:val="center"/>
              <w:rPr>
                <w:sz w:val="21"/>
                <w:szCs w:val="21"/>
                <w:lang w:eastAsia="ar-SA"/>
              </w:rPr>
            </w:pPr>
            <w:proofErr w:type="spellStart"/>
            <w:r w:rsidRPr="005D35E3">
              <w:rPr>
                <w:sz w:val="21"/>
                <w:szCs w:val="21"/>
                <w:lang w:eastAsia="ar-SA"/>
              </w:rPr>
              <w:t>Уропрезерватив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самоклеящийся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proofErr w:type="spellStart"/>
            <w:r w:rsidRPr="005D35E3">
              <w:rPr>
                <w:sz w:val="21"/>
                <w:szCs w:val="21"/>
                <w:lang w:eastAsia="ar-SA"/>
              </w:rPr>
              <w:t>Уропрезервативы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самоклеящиеся различных размеров от 20 до 40 мм (участником электронного аукциона указывается размерный ряд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уропрезервативов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>).</w:t>
            </w:r>
          </w:p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AD0769" w:rsidP="00E054EA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25</w:t>
            </w:r>
            <w:r w:rsidR="005D35E3" w:rsidRPr="005D35E3">
              <w:rPr>
                <w:sz w:val="21"/>
                <w:szCs w:val="21"/>
                <w:lang w:eastAsia="ar-SA"/>
              </w:rPr>
              <w:t>00</w:t>
            </w:r>
          </w:p>
        </w:tc>
      </w:tr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-235"/>
                <w:tab w:val="left" w:pos="453"/>
                <w:tab w:val="left" w:pos="505"/>
              </w:tabs>
              <w:snapToGrid w:val="0"/>
              <w:ind w:left="33" w:right="-15"/>
              <w:jc w:val="center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Мочеприемник прикроватный (мешок для сбора мочи) ночной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Мешки для сбора мочи (прикроватные мочеприемники) объемом не менее 1500 мл, материал – поливинилхлорид высокой прочности, двойная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пропайка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по контуру, нетканая подложка из полиэстера на задней поверхности мочеприемника, сливной клапан в виде защелки, дренажная трубка не менее 90 см.</w:t>
            </w:r>
          </w:p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Срок службы товара (срок пользования) должен составлять  не  менее 3 суток.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AD0769" w:rsidP="00E054EA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  <w:r w:rsidR="005D35E3" w:rsidRPr="005D35E3">
              <w:rPr>
                <w:sz w:val="21"/>
                <w:szCs w:val="21"/>
                <w:lang w:eastAsia="ar-SA"/>
              </w:rPr>
              <w:t>000</w:t>
            </w:r>
          </w:p>
        </w:tc>
      </w:tr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-235"/>
                <w:tab w:val="left" w:pos="453"/>
                <w:tab w:val="left" w:pos="505"/>
              </w:tabs>
              <w:snapToGrid w:val="0"/>
              <w:ind w:left="33" w:right="-15"/>
              <w:jc w:val="center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Мочеприемни</w:t>
            </w:r>
            <w:r w:rsidR="00454E90">
              <w:rPr>
                <w:sz w:val="21"/>
                <w:szCs w:val="21"/>
                <w:lang w:eastAsia="ar-SA"/>
              </w:rPr>
              <w:t>к ножной (мешок для сбора мочи)</w:t>
            </w:r>
            <w:r w:rsidRPr="005D35E3">
              <w:rPr>
                <w:sz w:val="21"/>
                <w:szCs w:val="21"/>
                <w:lang w:eastAsia="ar-SA"/>
              </w:rPr>
              <w:t xml:space="preserve"> дневной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Мешки для сбора мочи (мочеприемники ножные) дневные, различного объема (в зависимости от нуждаемости инвалида), из прозрачного многослойного, не пропускающего запах полиэтилена, с мягкой нетканой подложкой,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антирефлюксным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клапаном, сливным клапаном, универсальным переходником для соединения с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уропрезервативом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или катетером, с отверстиями для крепления ремней. Срок службы товара (срок пользования) должен составлять не менее 3 суток.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AD0769" w:rsidP="00E054EA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</w:t>
            </w:r>
            <w:r w:rsidR="005D35E3" w:rsidRPr="005D35E3">
              <w:rPr>
                <w:sz w:val="21"/>
                <w:szCs w:val="21"/>
                <w:lang w:eastAsia="ar-SA"/>
              </w:rPr>
              <w:t>000</w:t>
            </w:r>
          </w:p>
        </w:tc>
      </w:tr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-235"/>
                <w:tab w:val="left" w:pos="453"/>
                <w:tab w:val="left" w:pos="505"/>
              </w:tabs>
              <w:snapToGrid w:val="0"/>
              <w:ind w:left="33" w:right="-15"/>
              <w:jc w:val="center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Ремешки (пара) для крепления мешков для сбора мочи к ноге, совместимые  с ножными  мочеприемниками,  регулируемые по длине. </w:t>
            </w:r>
          </w:p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Срок службы товара (срок пользования) должен составлять  не менее 15 суток.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AD0769" w:rsidP="00E054EA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  <w:r w:rsidR="005D35E3" w:rsidRPr="005D35E3">
              <w:rPr>
                <w:sz w:val="21"/>
                <w:szCs w:val="21"/>
                <w:lang w:eastAsia="ar-SA"/>
              </w:rPr>
              <w:t>00</w:t>
            </w:r>
          </w:p>
        </w:tc>
      </w:tr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333"/>
              </w:tabs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Система (с катетером) для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нефростомии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Система (с катетером) для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нефростомии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предназначена для выведения мочи из почки искусственным путем с помощью дренажа.</w:t>
            </w:r>
          </w:p>
          <w:p w:rsidR="005D35E3" w:rsidRPr="005D35E3" w:rsidRDefault="005D35E3" w:rsidP="00E054EA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eastAsiaTheme="minorEastAsia"/>
                <w:sz w:val="21"/>
                <w:szCs w:val="21"/>
                <w:lang w:val="ru-RU"/>
              </w:rPr>
            </w:pPr>
            <w:r w:rsidRPr="005D35E3">
              <w:rPr>
                <w:rFonts w:eastAsiaTheme="minorEastAsia"/>
                <w:sz w:val="21"/>
                <w:szCs w:val="21"/>
                <w:lang w:val="ru-RU"/>
              </w:rPr>
              <w:t xml:space="preserve">Должна включать: </w:t>
            </w:r>
          </w:p>
          <w:p w:rsidR="005D35E3" w:rsidRPr="005D35E3" w:rsidRDefault="005D35E3" w:rsidP="00E054EA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eastAsiaTheme="minorEastAsia"/>
                <w:sz w:val="21"/>
                <w:szCs w:val="21"/>
                <w:lang w:val="ru-RU"/>
              </w:rPr>
            </w:pPr>
            <w:proofErr w:type="gramStart"/>
            <w:r w:rsidRPr="005D35E3">
              <w:rPr>
                <w:rFonts w:eastAsiaTheme="minorEastAsia"/>
                <w:sz w:val="21"/>
                <w:szCs w:val="21"/>
                <w:lang w:val="ru-RU"/>
              </w:rPr>
              <w:t xml:space="preserve">- катетер для </w:t>
            </w:r>
            <w:proofErr w:type="spellStart"/>
            <w:r w:rsidRPr="005D35E3">
              <w:rPr>
                <w:rFonts w:eastAsiaTheme="minorEastAsia"/>
                <w:sz w:val="21"/>
                <w:szCs w:val="21"/>
                <w:lang w:val="ru-RU"/>
              </w:rPr>
              <w:t>чрескожной</w:t>
            </w:r>
            <w:proofErr w:type="spellEnd"/>
            <w:r w:rsidRPr="005D35E3">
              <w:rPr>
                <w:rFonts w:eastAsiaTheme="minorEastAsia"/>
                <w:sz w:val="21"/>
                <w:szCs w:val="21"/>
                <w:lang w:val="ru-RU"/>
              </w:rPr>
              <w:t xml:space="preserve"> пункционной </w:t>
            </w:r>
            <w:proofErr w:type="spellStart"/>
            <w:r w:rsidRPr="005D35E3">
              <w:rPr>
                <w:rFonts w:eastAsiaTheme="minorEastAsia"/>
                <w:sz w:val="21"/>
                <w:szCs w:val="21"/>
                <w:lang w:val="ru-RU"/>
              </w:rPr>
              <w:t>нефростомии</w:t>
            </w:r>
            <w:proofErr w:type="spellEnd"/>
            <w:r w:rsidRPr="005D35E3">
              <w:rPr>
                <w:rFonts w:eastAsiaTheme="minorEastAsia"/>
                <w:sz w:val="21"/>
                <w:szCs w:val="21"/>
                <w:lang w:val="ru-RU"/>
              </w:rPr>
              <w:t xml:space="preserve"> (ЧПНС), </w:t>
            </w:r>
            <w:proofErr w:type="spellStart"/>
            <w:r w:rsidRPr="005D35E3">
              <w:rPr>
                <w:rFonts w:eastAsiaTheme="minorEastAsia"/>
                <w:sz w:val="21"/>
                <w:szCs w:val="21"/>
                <w:lang w:val="ru-RU"/>
              </w:rPr>
              <w:t>однопетлевой</w:t>
            </w:r>
            <w:proofErr w:type="spellEnd"/>
            <w:r w:rsidRPr="005D35E3">
              <w:rPr>
                <w:rFonts w:eastAsiaTheme="minorEastAsia"/>
                <w:sz w:val="21"/>
                <w:szCs w:val="21"/>
                <w:lang w:val="ru-RU"/>
              </w:rPr>
              <w:t xml:space="preserve">, не менее 6 боковых отверстий на петле, материал термопластичный </w:t>
            </w:r>
            <w:proofErr w:type="spellStart"/>
            <w:r w:rsidRPr="005D35E3">
              <w:rPr>
                <w:rFonts w:eastAsiaTheme="minorEastAsia"/>
                <w:sz w:val="21"/>
                <w:szCs w:val="21"/>
                <w:lang w:val="ru-RU"/>
              </w:rPr>
              <w:t>рентгеноконтрастный</w:t>
            </w:r>
            <w:proofErr w:type="spellEnd"/>
            <w:r w:rsidRPr="005D35E3">
              <w:rPr>
                <w:rFonts w:eastAsiaTheme="minorEastAsia"/>
                <w:sz w:val="21"/>
                <w:szCs w:val="21"/>
                <w:lang w:val="ru-RU"/>
              </w:rPr>
              <w:t xml:space="preserve">; </w:t>
            </w:r>
            <w:proofErr w:type="gramEnd"/>
          </w:p>
          <w:p w:rsidR="005D35E3" w:rsidRPr="005D35E3" w:rsidRDefault="005D35E3" w:rsidP="00E054EA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eastAsiaTheme="minorEastAsia"/>
                <w:sz w:val="21"/>
                <w:szCs w:val="21"/>
                <w:lang w:val="ru-RU"/>
              </w:rPr>
            </w:pPr>
            <w:r w:rsidRPr="005D35E3">
              <w:rPr>
                <w:rFonts w:eastAsiaTheme="minorEastAsia"/>
                <w:sz w:val="21"/>
                <w:szCs w:val="21"/>
                <w:lang w:val="ru-RU"/>
              </w:rPr>
              <w:t>- стилет для выпрямления петли катетера;</w:t>
            </w:r>
          </w:p>
          <w:p w:rsidR="005D35E3" w:rsidRPr="005D35E3" w:rsidRDefault="005D35E3" w:rsidP="00E054EA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eastAsiaTheme="minorEastAsia"/>
                <w:sz w:val="21"/>
                <w:szCs w:val="21"/>
                <w:lang w:val="ru-RU"/>
              </w:rPr>
            </w:pPr>
            <w:r w:rsidRPr="005D35E3">
              <w:rPr>
                <w:rFonts w:eastAsiaTheme="minorEastAsia"/>
                <w:sz w:val="21"/>
                <w:szCs w:val="21"/>
                <w:lang w:val="ru-RU"/>
              </w:rPr>
              <w:t>- гибкий переходник с коннектором (винтовым соединителем) с запирательным механизмом для соединения катетера с мешком для сбора мочи;</w:t>
            </w:r>
          </w:p>
          <w:p w:rsidR="005D35E3" w:rsidRPr="005D35E3" w:rsidRDefault="005D35E3" w:rsidP="00E054EA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eastAsiaTheme="minorEastAsia"/>
                <w:sz w:val="21"/>
                <w:szCs w:val="21"/>
                <w:lang w:val="ru-RU"/>
              </w:rPr>
            </w:pPr>
            <w:r w:rsidRPr="005D35E3">
              <w:rPr>
                <w:rFonts w:eastAsiaTheme="minorEastAsia"/>
                <w:sz w:val="21"/>
                <w:szCs w:val="21"/>
                <w:lang w:val="ru-RU"/>
              </w:rPr>
              <w:t xml:space="preserve">- фиксирующую муфту из силикона.  </w:t>
            </w:r>
          </w:p>
          <w:p w:rsidR="005D35E3" w:rsidRPr="005D35E3" w:rsidRDefault="005D35E3" w:rsidP="00E054EA">
            <w:pPr>
              <w:pStyle w:val="a3"/>
              <w:tabs>
                <w:tab w:val="left" w:pos="100"/>
                <w:tab w:val="left" w:pos="160"/>
                <w:tab w:val="left" w:pos="300"/>
              </w:tabs>
              <w:snapToGrid w:val="0"/>
              <w:jc w:val="both"/>
              <w:rPr>
                <w:rFonts w:eastAsiaTheme="minorEastAsia"/>
                <w:sz w:val="21"/>
                <w:szCs w:val="21"/>
                <w:lang w:val="ru-RU"/>
              </w:rPr>
            </w:pPr>
            <w:proofErr w:type="gramStart"/>
            <w:r w:rsidRPr="005D35E3">
              <w:rPr>
                <w:rFonts w:eastAsiaTheme="minorEastAsia"/>
                <w:sz w:val="21"/>
                <w:szCs w:val="21"/>
                <w:lang w:val="ru-RU"/>
              </w:rPr>
              <w:t>Стерильная</w:t>
            </w:r>
            <w:proofErr w:type="gramEnd"/>
            <w:r w:rsidRPr="005D35E3">
              <w:rPr>
                <w:rFonts w:eastAsiaTheme="minorEastAsia"/>
                <w:sz w:val="21"/>
                <w:szCs w:val="21"/>
                <w:lang w:val="ru-RU"/>
              </w:rPr>
              <w:t>, для однократного применения. Различных размеров, индивидуальный подбор.</w:t>
            </w:r>
          </w:p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Срок службы товара (срок пользования) должен составлять   не менее 3 месяцев.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AD0769" w:rsidP="00E054EA">
            <w:pPr>
              <w:widowControl w:val="0"/>
              <w:shd w:val="clear" w:color="auto" w:fill="FFFFFF"/>
              <w:tabs>
                <w:tab w:val="left" w:pos="142"/>
              </w:tabs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10</w:t>
            </w:r>
          </w:p>
        </w:tc>
      </w:tr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jc w:val="center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Наборы-мочеприемники для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самокатетеризации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: мешок-мочеприемник, катетер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лубрицированный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для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самокатетеризации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 xml:space="preserve">Наборы-мочеприемники для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самокатетеризации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: мешок-мочеприемник, катетер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лубрицированный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 xml:space="preserve"> для </w:t>
            </w:r>
            <w:proofErr w:type="spellStart"/>
            <w:r w:rsidRPr="005D35E3">
              <w:rPr>
                <w:sz w:val="21"/>
                <w:szCs w:val="21"/>
                <w:lang w:eastAsia="ar-SA"/>
              </w:rPr>
              <w:t>самокатетеризации</w:t>
            </w:r>
            <w:proofErr w:type="spellEnd"/>
            <w:r w:rsidRPr="005D35E3">
              <w:rPr>
                <w:sz w:val="21"/>
                <w:szCs w:val="21"/>
                <w:lang w:eastAsia="ar-SA"/>
              </w:rPr>
              <w:t>. Должны быть стерильные в индивидуальной упаковке.</w:t>
            </w:r>
          </w:p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sz w:val="21"/>
                <w:szCs w:val="21"/>
                <w:lang w:eastAsia="ar-SA"/>
              </w:rPr>
            </w:pPr>
            <w:r w:rsidRPr="005D35E3">
              <w:rPr>
                <w:sz w:val="21"/>
                <w:szCs w:val="21"/>
                <w:lang w:eastAsia="ar-SA"/>
              </w:rPr>
              <w:t>Срок службы товара (срок пользования) должен составлять   не менее 4 часов.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AD0769" w:rsidP="00E054EA">
            <w:pPr>
              <w:widowControl w:val="0"/>
              <w:shd w:val="clear" w:color="auto" w:fill="FFFFFF"/>
              <w:tabs>
                <w:tab w:val="left" w:pos="142"/>
              </w:tabs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</w:t>
            </w:r>
            <w:r w:rsidR="005D35E3" w:rsidRPr="005D35E3">
              <w:rPr>
                <w:sz w:val="21"/>
                <w:szCs w:val="21"/>
                <w:lang w:eastAsia="ar-SA"/>
              </w:rPr>
              <w:t>000</w:t>
            </w:r>
          </w:p>
        </w:tc>
      </w:tr>
      <w:tr w:rsidR="005D35E3" w:rsidRPr="005D35E3" w:rsidTr="00E054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3" w:rsidRPr="005D35E3" w:rsidRDefault="005D35E3" w:rsidP="00E054EA">
            <w:pPr>
              <w:keepNext/>
              <w:keepLines/>
              <w:tabs>
                <w:tab w:val="left" w:pos="373"/>
              </w:tabs>
              <w:snapToGrid w:val="0"/>
              <w:jc w:val="center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Итого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E3" w:rsidRPr="005D35E3" w:rsidRDefault="005D35E3" w:rsidP="00E054EA">
            <w:pPr>
              <w:widowControl w:val="0"/>
              <w:tabs>
                <w:tab w:val="left" w:pos="708"/>
              </w:tabs>
              <w:snapToGrid w:val="0"/>
              <w:spacing w:line="240" w:lineRule="exact"/>
              <w:ind w:firstLine="317"/>
              <w:jc w:val="both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E3" w:rsidRPr="005D35E3" w:rsidRDefault="005D35E3" w:rsidP="00AD0769">
            <w:pPr>
              <w:keepNext/>
              <w:keepLines/>
              <w:shd w:val="clear" w:color="auto" w:fill="FFFFFF"/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5D35E3">
              <w:rPr>
                <w:sz w:val="21"/>
                <w:szCs w:val="21"/>
              </w:rPr>
              <w:t>17</w:t>
            </w:r>
            <w:r w:rsidR="00AD0769">
              <w:rPr>
                <w:sz w:val="21"/>
                <w:szCs w:val="21"/>
              </w:rPr>
              <w:t>510</w:t>
            </w:r>
          </w:p>
        </w:tc>
      </w:tr>
    </w:tbl>
    <w:p w:rsidR="009E4DEC" w:rsidRPr="0091667A" w:rsidRDefault="009E4DEC" w:rsidP="009E4DEC">
      <w:pPr>
        <w:pStyle w:val="a3"/>
        <w:tabs>
          <w:tab w:val="left" w:pos="160"/>
          <w:tab w:val="left" w:pos="284"/>
        </w:tabs>
        <w:snapToGrid w:val="0"/>
        <w:jc w:val="both"/>
        <w:rPr>
          <w:rFonts w:cs="Times New Roman"/>
          <w:sz w:val="22"/>
          <w:szCs w:val="22"/>
          <w:lang w:val="ru-RU"/>
        </w:rPr>
      </w:pPr>
      <w:r w:rsidRPr="0091667A">
        <w:rPr>
          <w:rFonts w:cs="Times New Roman"/>
          <w:sz w:val="22"/>
          <w:szCs w:val="22"/>
          <w:lang w:val="ru-RU"/>
        </w:rPr>
        <w:t xml:space="preserve">Наименование товара в соответствии с Приказом Минтруда России от 13.02.2018 </w:t>
      </w:r>
      <w:r w:rsidRPr="0091667A">
        <w:rPr>
          <w:rFonts w:cs="Times New Roman"/>
          <w:sz w:val="22"/>
          <w:szCs w:val="22"/>
        </w:rPr>
        <w:t>N</w:t>
      </w:r>
      <w:r w:rsidRPr="0091667A">
        <w:rPr>
          <w:rFonts w:cs="Times New Roman"/>
          <w:sz w:val="22"/>
          <w:szCs w:val="22"/>
          <w:lang w:val="ru-RU"/>
        </w:rPr>
        <w:t xml:space="preserve">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</w:t>
      </w:r>
      <w:r w:rsidRPr="0091667A">
        <w:rPr>
          <w:rFonts w:cs="Times New Roman"/>
          <w:sz w:val="22"/>
          <w:szCs w:val="22"/>
          <w:lang w:val="ru-RU"/>
        </w:rPr>
        <w:lastRenderedPageBreak/>
        <w:t xml:space="preserve">инвалиду, утвержденного распоряжением Правительства Российской Федерации от 30 декабря 2005 г. </w:t>
      </w:r>
      <w:r w:rsidRPr="0091667A">
        <w:rPr>
          <w:rFonts w:cs="Times New Roman"/>
          <w:sz w:val="22"/>
          <w:szCs w:val="22"/>
        </w:rPr>
        <w:t>N</w:t>
      </w:r>
      <w:r w:rsidRPr="0091667A">
        <w:rPr>
          <w:rFonts w:cs="Times New Roman"/>
          <w:sz w:val="22"/>
          <w:szCs w:val="22"/>
          <w:lang w:val="ru-RU"/>
        </w:rPr>
        <w:t xml:space="preserve"> 2347-р».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91667A">
        <w:rPr>
          <w:rFonts w:ascii="Times New Roman" w:hAnsi="Times New Roman"/>
          <w:sz w:val="22"/>
          <w:szCs w:val="22"/>
          <w:lang w:eastAsia="ar-SA"/>
        </w:rPr>
        <w:t xml:space="preserve">      Специальные средства при нарушении функции выделения должны соответствовать: 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ГОСТ </w:t>
      </w:r>
      <w:proofErr w:type="gramStart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>Р</w:t>
      </w:r>
      <w:proofErr w:type="gramEnd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51632-2014 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91667A">
        <w:rPr>
          <w:rFonts w:ascii="Times New Roman" w:hAnsi="Times New Roman"/>
          <w:sz w:val="22"/>
          <w:szCs w:val="22"/>
          <w:lang w:eastAsia="ar-SA"/>
        </w:rPr>
        <w:t>ГОСТ ИСО 10993-1-2011 «Изделия медицинские. Оценка биологического действия медицинских изделий. Часть</w:t>
      </w:r>
      <w:proofErr w:type="gramStart"/>
      <w:r w:rsidRPr="0091667A">
        <w:rPr>
          <w:rFonts w:ascii="Times New Roman" w:hAnsi="Times New Roman"/>
          <w:sz w:val="22"/>
          <w:szCs w:val="22"/>
          <w:lang w:eastAsia="ar-SA"/>
        </w:rPr>
        <w:t>1</w:t>
      </w:r>
      <w:proofErr w:type="gramEnd"/>
      <w:r w:rsidRPr="0091667A">
        <w:rPr>
          <w:rFonts w:ascii="Times New Roman" w:hAnsi="Times New Roman"/>
          <w:sz w:val="22"/>
          <w:szCs w:val="22"/>
          <w:lang w:eastAsia="ar-SA"/>
        </w:rPr>
        <w:t>. Оценка и исследования»,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91667A">
        <w:rPr>
          <w:rFonts w:ascii="Times New Roman" w:hAnsi="Times New Roman"/>
          <w:sz w:val="22"/>
          <w:szCs w:val="22"/>
          <w:lang w:eastAsia="ar-SA"/>
        </w:rPr>
        <w:t xml:space="preserve">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91667A">
        <w:rPr>
          <w:rFonts w:ascii="Times New Roman" w:hAnsi="Times New Roman"/>
          <w:sz w:val="22"/>
          <w:szCs w:val="22"/>
          <w:lang w:eastAsia="ar-SA"/>
        </w:rPr>
        <w:t>цитотоксичность</w:t>
      </w:r>
      <w:proofErr w:type="spellEnd"/>
      <w:r w:rsidRPr="0091667A">
        <w:rPr>
          <w:rFonts w:ascii="Times New Roman" w:hAnsi="Times New Roman"/>
          <w:sz w:val="22"/>
          <w:szCs w:val="22"/>
          <w:lang w:eastAsia="ar-SA"/>
        </w:rPr>
        <w:t xml:space="preserve">: методы </w:t>
      </w:r>
      <w:r w:rsidRPr="0091667A">
        <w:rPr>
          <w:rFonts w:ascii="Times New Roman" w:hAnsi="Times New Roman"/>
          <w:sz w:val="22"/>
          <w:szCs w:val="22"/>
          <w:lang w:val="en-US" w:eastAsia="ar-SA"/>
        </w:rPr>
        <w:t>in</w:t>
      </w:r>
      <w:r w:rsidRPr="0091667A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91667A">
        <w:rPr>
          <w:rFonts w:ascii="Times New Roman" w:hAnsi="Times New Roman"/>
          <w:sz w:val="22"/>
          <w:szCs w:val="22"/>
          <w:lang w:val="en-US" w:eastAsia="ar-SA"/>
        </w:rPr>
        <w:t>vitro</w:t>
      </w:r>
      <w:r w:rsidRPr="0091667A">
        <w:rPr>
          <w:rFonts w:ascii="Times New Roman" w:hAnsi="Times New Roman"/>
          <w:sz w:val="22"/>
          <w:szCs w:val="22"/>
          <w:lang w:eastAsia="ar-SA"/>
        </w:rPr>
        <w:t>»,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91667A">
        <w:rPr>
          <w:rFonts w:ascii="Times New Roman" w:hAnsi="Times New Roman"/>
          <w:sz w:val="22"/>
          <w:szCs w:val="22"/>
          <w:lang w:eastAsia="ar-SA"/>
        </w:rPr>
        <w:t xml:space="preserve">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ГОСТ </w:t>
      </w:r>
      <w:proofErr w:type="gramStart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>Р</w:t>
      </w:r>
      <w:proofErr w:type="gramEnd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52770-2016 «Изделия медицинские. Требования безопасности. Методы санитарно-химических и токсикологических испытаний».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        Товар должен быть новым (ранее не использованным), свободным от прав третьих лиц, без дефектов и  повреждений. </w:t>
      </w:r>
    </w:p>
    <w:p w:rsidR="009E4DEC" w:rsidRPr="0091667A" w:rsidRDefault="009E4DEC" w:rsidP="009E4DEC">
      <w:pPr>
        <w:widowControl w:val="0"/>
        <w:tabs>
          <w:tab w:val="left" w:pos="284"/>
        </w:tabs>
        <w:suppressAutoHyphens/>
        <w:spacing w:line="240" w:lineRule="exact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        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п.4.11 ГОСТ </w:t>
      </w:r>
      <w:proofErr w:type="gramStart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>Р</w:t>
      </w:r>
      <w:proofErr w:type="gramEnd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>Общие технические требования и методы испытаний»).</w:t>
      </w:r>
      <w:proofErr w:type="gramEnd"/>
    </w:p>
    <w:p w:rsidR="009E4DEC" w:rsidRPr="0091667A" w:rsidRDefault="009E4DEC" w:rsidP="009E4DEC">
      <w:pPr>
        <w:tabs>
          <w:tab w:val="left" w:pos="284"/>
        </w:tabs>
        <w:autoSpaceDE w:val="0"/>
        <w:adjustRightInd w:val="0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         Инструкция, содержащая информацию по применению </w:t>
      </w:r>
      <w:r w:rsidRPr="0091667A">
        <w:rPr>
          <w:rFonts w:ascii="Times New Roman" w:hAnsi="Times New Roman"/>
          <w:sz w:val="22"/>
          <w:szCs w:val="22"/>
        </w:rPr>
        <w:t>специальных сре</w:t>
      </w:r>
      <w:proofErr w:type="gramStart"/>
      <w:r w:rsidRPr="0091667A">
        <w:rPr>
          <w:rFonts w:ascii="Times New Roman" w:hAnsi="Times New Roman"/>
          <w:sz w:val="22"/>
          <w:szCs w:val="22"/>
        </w:rPr>
        <w:t>дств пр</w:t>
      </w:r>
      <w:proofErr w:type="gramEnd"/>
      <w:r w:rsidRPr="0091667A">
        <w:rPr>
          <w:rFonts w:ascii="Times New Roman" w:hAnsi="Times New Roman"/>
          <w:sz w:val="22"/>
          <w:szCs w:val="22"/>
        </w:rPr>
        <w:t>и нарушении функции выделения</w:t>
      </w: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>, должна быть вложена в каждую упаковку поставляемого товара.</w:t>
      </w:r>
    </w:p>
    <w:p w:rsidR="009E4DEC" w:rsidRPr="0091667A" w:rsidRDefault="009E4DEC" w:rsidP="009E4DEC">
      <w:pPr>
        <w:widowControl w:val="0"/>
        <w:suppressLineNumbers/>
        <w:tabs>
          <w:tab w:val="left" w:pos="284"/>
        </w:tabs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91667A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        Поставка Товара должна осуществляться при наличии действующих регистрационных удостоверений (обязательно).</w:t>
      </w:r>
    </w:p>
    <w:p w:rsidR="00DE47FF" w:rsidRPr="00DE47FF" w:rsidRDefault="00DE47FF" w:rsidP="00DE47FF">
      <w:pPr>
        <w:rPr>
          <w:rFonts w:ascii="Times New Roman" w:hAnsi="Times New Roman"/>
          <w:sz w:val="23"/>
          <w:szCs w:val="23"/>
        </w:rPr>
      </w:pPr>
    </w:p>
    <w:p w:rsidR="00A60F09" w:rsidRPr="0063547B" w:rsidRDefault="00A60F09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60F09" w:rsidRPr="0063547B" w:rsidSect="00970A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4E"/>
    <w:rsid w:val="000756BB"/>
    <w:rsid w:val="000C4D90"/>
    <w:rsid w:val="00107BF3"/>
    <w:rsid w:val="001122FF"/>
    <w:rsid w:val="001667E3"/>
    <w:rsid w:val="001C1BD7"/>
    <w:rsid w:val="001C2F63"/>
    <w:rsid w:val="001D27E6"/>
    <w:rsid w:val="001E666A"/>
    <w:rsid w:val="00240054"/>
    <w:rsid w:val="00254AC6"/>
    <w:rsid w:val="003B5188"/>
    <w:rsid w:val="00413EB3"/>
    <w:rsid w:val="00454E90"/>
    <w:rsid w:val="004562E1"/>
    <w:rsid w:val="004F59E7"/>
    <w:rsid w:val="005343C0"/>
    <w:rsid w:val="005C2E50"/>
    <w:rsid w:val="005D0533"/>
    <w:rsid w:val="005D35E3"/>
    <w:rsid w:val="005D38ED"/>
    <w:rsid w:val="005E46A0"/>
    <w:rsid w:val="005E701C"/>
    <w:rsid w:val="00603612"/>
    <w:rsid w:val="0063547B"/>
    <w:rsid w:val="00725F75"/>
    <w:rsid w:val="00770CA9"/>
    <w:rsid w:val="007830CD"/>
    <w:rsid w:val="007E180D"/>
    <w:rsid w:val="0086365B"/>
    <w:rsid w:val="008826E2"/>
    <w:rsid w:val="008D444D"/>
    <w:rsid w:val="00904C71"/>
    <w:rsid w:val="00970A4E"/>
    <w:rsid w:val="009E4DEC"/>
    <w:rsid w:val="00A60F09"/>
    <w:rsid w:val="00AB4016"/>
    <w:rsid w:val="00AC6F84"/>
    <w:rsid w:val="00AD0769"/>
    <w:rsid w:val="00C13650"/>
    <w:rsid w:val="00C3356D"/>
    <w:rsid w:val="00CD71A1"/>
    <w:rsid w:val="00D03278"/>
    <w:rsid w:val="00D43E62"/>
    <w:rsid w:val="00DE47FF"/>
    <w:rsid w:val="00DF0901"/>
    <w:rsid w:val="00E05D29"/>
    <w:rsid w:val="00E3586C"/>
    <w:rsid w:val="00E75555"/>
    <w:rsid w:val="00EB285B"/>
    <w:rsid w:val="00EE7716"/>
    <w:rsid w:val="00F44AD9"/>
    <w:rsid w:val="00F558F7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4E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558F7"/>
  </w:style>
  <w:style w:type="character" w:customStyle="1" w:styleId="s4">
    <w:name w:val="s4"/>
    <w:rsid w:val="00F558F7"/>
  </w:style>
  <w:style w:type="paragraph" w:customStyle="1" w:styleId="ConsPlusNormal">
    <w:name w:val="ConsPlusNormal"/>
    <w:rsid w:val="003B5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FA140A"/>
    <w:pPr>
      <w:widowControl w:val="0"/>
      <w:suppressLineNumbers/>
      <w:suppressAutoHyphens/>
    </w:pPr>
    <w:rPr>
      <w:rFonts w:ascii="Times New Roman" w:eastAsia="Arial Unicode MS" w:hAnsi="Times New Roman" w:cs="Tahoma"/>
      <w:color w:val="000000"/>
      <w:lang w:val="en-US" w:eastAsia="en-US" w:bidi="en-US"/>
    </w:rPr>
  </w:style>
  <w:style w:type="table" w:customStyle="1" w:styleId="2">
    <w:name w:val="Сетка таблицы2"/>
    <w:basedOn w:val="a1"/>
    <w:next w:val="a4"/>
    <w:uiPriority w:val="59"/>
    <w:rsid w:val="005D3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D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4E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F558F7"/>
  </w:style>
  <w:style w:type="character" w:customStyle="1" w:styleId="s4">
    <w:name w:val="s4"/>
    <w:rsid w:val="00F558F7"/>
  </w:style>
  <w:style w:type="paragraph" w:customStyle="1" w:styleId="ConsPlusNormal">
    <w:name w:val="ConsPlusNormal"/>
    <w:rsid w:val="003B5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FA140A"/>
    <w:pPr>
      <w:widowControl w:val="0"/>
      <w:suppressLineNumbers/>
      <w:suppressAutoHyphens/>
    </w:pPr>
    <w:rPr>
      <w:rFonts w:ascii="Times New Roman" w:eastAsia="Arial Unicode MS" w:hAnsi="Times New Roman" w:cs="Tahoma"/>
      <w:color w:val="000000"/>
      <w:lang w:val="en-US" w:eastAsia="en-US" w:bidi="en-US"/>
    </w:rPr>
  </w:style>
  <w:style w:type="table" w:customStyle="1" w:styleId="2">
    <w:name w:val="Сетка таблицы2"/>
    <w:basedOn w:val="a1"/>
    <w:next w:val="a4"/>
    <w:uiPriority w:val="59"/>
    <w:rsid w:val="005D3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D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B01D-7380-471E-9836-6E51178C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Смирнова М.В.</cp:lastModifiedBy>
  <cp:revision>7</cp:revision>
  <dcterms:created xsi:type="dcterms:W3CDTF">2018-07-16T13:38:00Z</dcterms:created>
  <dcterms:modified xsi:type="dcterms:W3CDTF">2018-12-10T12:24:00Z</dcterms:modified>
</cp:coreProperties>
</file>