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45" w:rsidRPr="00D35645" w:rsidRDefault="00D35645" w:rsidP="00D35645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 w:rsidRPr="00D356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Техническое задание</w:t>
      </w:r>
    </w:p>
    <w:p w:rsidR="00D35645" w:rsidRPr="00D35645" w:rsidRDefault="00D35645" w:rsidP="00D35645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 w:rsidRPr="00D356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Требования </w:t>
      </w:r>
      <w:proofErr w:type="gramStart"/>
      <w:r w:rsidRPr="00D356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к  количественным</w:t>
      </w:r>
      <w:proofErr w:type="gramEnd"/>
      <w:r w:rsidRPr="00D356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и качественным  характеристикам</w:t>
      </w:r>
    </w:p>
    <w:tbl>
      <w:tblPr>
        <w:tblW w:w="9813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7537"/>
        <w:gridCol w:w="1589"/>
      </w:tblGrid>
      <w:tr w:rsidR="00D35645" w:rsidRPr="00D35645" w:rsidTr="00824BDD">
        <w:tblPrEx>
          <w:tblCellMar>
            <w:top w:w="0" w:type="dxa"/>
            <w:bottom w:w="0" w:type="dxa"/>
          </w:tblCellMar>
        </w:tblPrEx>
        <w:tc>
          <w:tcPr>
            <w:tcW w:w="8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645" w:rsidRPr="00D35645" w:rsidRDefault="00D35645" w:rsidP="00D356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D3564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645" w:rsidRPr="00D35645" w:rsidRDefault="00D35645" w:rsidP="00D356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D3564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Количество (шт.)</w:t>
            </w:r>
          </w:p>
        </w:tc>
      </w:tr>
      <w:tr w:rsidR="00D35645" w:rsidRPr="00D35645" w:rsidTr="00824BDD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645" w:rsidRPr="00D35645" w:rsidRDefault="00D35645" w:rsidP="00D356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3564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645" w:rsidRPr="00D35645" w:rsidRDefault="00D35645" w:rsidP="00D3564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D35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Протез голени модульный  </w:t>
            </w:r>
            <w:r w:rsidRPr="00D3564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 Формообразующая часть косметической облицовки должна быть модульная мягкая, листовой поролон. Косметическое покрытие облицовки должны быть чулки </w:t>
            </w:r>
            <w:proofErr w:type="gramStart"/>
            <w:r w:rsidRPr="00D3564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ортопедические  </w:t>
            </w:r>
            <w:proofErr w:type="spellStart"/>
            <w:r w:rsidRPr="00D3564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силоновые</w:t>
            </w:r>
            <w:proofErr w:type="spellEnd"/>
            <w:proofErr w:type="gramEnd"/>
            <w:r w:rsidRPr="00D3564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. Приёмная гильза должна быть индивидуальной (две пробные гильзы).   Материал индивидуальной постоянной </w:t>
            </w:r>
            <w:proofErr w:type="gramStart"/>
            <w:r w:rsidRPr="00D3564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гильзы:   </w:t>
            </w:r>
            <w:proofErr w:type="gramEnd"/>
            <w:r w:rsidRPr="00D3564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должен быть литьевой слоистый пластик на основе  акриловых смол. Внутренняя вкладная гильза должна быть из вспененных материалов.   Крепление протеза должно быть с использованием гильзы (манжеты с шинами) бедра. Регулировочно-соединительные устройства должны соответствовать весу пострадавшего. Стопа должна быть шарнирная, полиуретановая, монолитная.</w:t>
            </w:r>
          </w:p>
          <w:p w:rsidR="00D35645" w:rsidRPr="00D35645" w:rsidRDefault="00D35645" w:rsidP="00D3564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D3564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Тип протеза по назначению должен быть постоянный.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645" w:rsidRPr="00D35645" w:rsidRDefault="00D35645" w:rsidP="00D356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/>
              </w:rPr>
            </w:pPr>
            <w:r w:rsidRPr="00D3564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/>
              </w:rPr>
              <w:t>5</w:t>
            </w:r>
          </w:p>
        </w:tc>
      </w:tr>
      <w:tr w:rsidR="00D35645" w:rsidRPr="00D35645" w:rsidTr="00824BDD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645" w:rsidRPr="00D35645" w:rsidRDefault="00D35645" w:rsidP="00D356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3564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7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645" w:rsidRPr="00D35645" w:rsidRDefault="00D35645" w:rsidP="00D3564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D3564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 xml:space="preserve">Протез голени модульный </w:t>
            </w:r>
            <w:r w:rsidRPr="00D356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Формообразующая часть косметической облицовки должна быть модульная, мягкая, листовой поролон. Косметическое покрытие облицовки должны быть чулки ортопедические </w:t>
            </w:r>
            <w:proofErr w:type="spellStart"/>
            <w:r w:rsidRPr="00D356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силоновые</w:t>
            </w:r>
            <w:proofErr w:type="spellEnd"/>
            <w:r w:rsidRPr="00D356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. Приемная гильза должна быть индивидуальной (две пробные гильзы). Материал индивидуальной постоянной гильзы должен быть литьевой слоистый пластик на основе акриловых смол. Внутренняя вкладная гильза должна </w:t>
            </w:r>
            <w:proofErr w:type="gramStart"/>
            <w:r w:rsidRPr="00D356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быть  из</w:t>
            </w:r>
            <w:proofErr w:type="gramEnd"/>
            <w:r w:rsidRPr="00D356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вспененных материалов. Крепление должно быть поясное с использованием кожаных </w:t>
            </w:r>
            <w:proofErr w:type="gramStart"/>
            <w:r w:rsidRPr="00D356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полуфабрикатов  и</w:t>
            </w:r>
            <w:proofErr w:type="gramEnd"/>
            <w:r w:rsidRPr="00D356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уздечки, или при помощи наколенника. Регулировочно-соединительные устройства должны соответствовать весу пострадавшего. Стопа должна быть шарнирная полиуретановая, монолитная.</w:t>
            </w:r>
          </w:p>
          <w:p w:rsidR="00D35645" w:rsidRPr="00D35645" w:rsidRDefault="00D35645" w:rsidP="00D35645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D356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Тип протеза по назначению — постоянный.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645" w:rsidRPr="00D35645" w:rsidRDefault="00D35645" w:rsidP="00D356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/>
              </w:rPr>
            </w:pPr>
            <w:r w:rsidRPr="00D3564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/>
              </w:rPr>
              <w:t>5</w:t>
            </w:r>
          </w:p>
        </w:tc>
      </w:tr>
      <w:tr w:rsidR="00D35645" w:rsidRPr="00D35645" w:rsidTr="00824BDD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645" w:rsidRPr="00D35645" w:rsidRDefault="00D35645" w:rsidP="00D356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3564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7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645" w:rsidRPr="00D35645" w:rsidRDefault="00D35645" w:rsidP="00D3564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D35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Протез голени модульный (</w:t>
            </w:r>
            <w:proofErr w:type="spellStart"/>
            <w:r w:rsidRPr="00D35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высокофункциональный</w:t>
            </w:r>
            <w:proofErr w:type="spellEnd"/>
            <w:r w:rsidRPr="00D356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)</w:t>
            </w:r>
          </w:p>
          <w:p w:rsidR="00D35645" w:rsidRPr="00D35645" w:rsidRDefault="00D35645" w:rsidP="00D35645">
            <w:pPr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356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D356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перлоновые</w:t>
            </w:r>
            <w:proofErr w:type="spellEnd"/>
            <w:r w:rsidRPr="00D356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. Приемная гильза должна быть индивидуальная (одна пробная гильза). Материал индивидуальной постоянной гильзы должен быть литьевой слоистый пластик на основе акриловых смол. Вкладная гильза должна быть из чехла полимерного </w:t>
            </w:r>
            <w:proofErr w:type="spellStart"/>
            <w:r w:rsidRPr="00D356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гелевого</w:t>
            </w:r>
            <w:proofErr w:type="spellEnd"/>
            <w:r w:rsidRPr="00D356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. Крепление протеза должно быть с использованием силиконового чехла с замковым устройством. Регулировочно-соединительные устройства должны соответствовать </w:t>
            </w:r>
            <w:r w:rsidRPr="00D356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 xml:space="preserve">весу пострадавшего. Стопа должна быть шарнирная </w:t>
            </w:r>
            <w:proofErr w:type="spellStart"/>
            <w:r w:rsidRPr="00D356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углепластикова</w:t>
            </w:r>
            <w:proofErr w:type="spellEnd"/>
            <w:r w:rsidRPr="00D356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для </w:t>
            </w:r>
            <w:r w:rsidRPr="00D356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II</w:t>
            </w:r>
            <w:r w:rsidRPr="00D356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Pr="00D356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III</w:t>
            </w:r>
            <w:r w:rsidRPr="00D356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группы активности.</w:t>
            </w:r>
          </w:p>
          <w:p w:rsidR="00D35645" w:rsidRPr="00D35645" w:rsidRDefault="00D35645" w:rsidP="00D35645">
            <w:pPr>
              <w:suppressAutoHyphens/>
              <w:autoSpaceDE w:val="0"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D3564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Тип протеза по назначению должен быть постоянный.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645" w:rsidRPr="00D35645" w:rsidRDefault="00D35645" w:rsidP="00D35645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/>
              </w:rPr>
            </w:pPr>
            <w:r w:rsidRPr="00D3564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/>
              </w:rPr>
              <w:lastRenderedPageBreak/>
              <w:t>2</w:t>
            </w:r>
          </w:p>
        </w:tc>
      </w:tr>
    </w:tbl>
    <w:p w:rsidR="00D35645" w:rsidRPr="00D35645" w:rsidRDefault="00D35645" w:rsidP="00D3564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D35645">
        <w:rPr>
          <w:rFonts w:ascii="Times New Roman" w:eastAsia="Lucida Sans Unicode" w:hAnsi="Times New Roman" w:cs="Tahoma"/>
          <w:kern w:val="3"/>
          <w:sz w:val="24"/>
          <w:szCs w:val="24"/>
        </w:rPr>
        <w:lastRenderedPageBreak/>
        <w:tab/>
      </w:r>
      <w:r w:rsidRPr="00D3564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Протезы нижних конечностей должны отвечать </w:t>
      </w:r>
      <w:proofErr w:type="gramStart"/>
      <w:r w:rsidRPr="00D3564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требованиям  Национального</w:t>
      </w:r>
      <w:proofErr w:type="gramEnd"/>
      <w:r w:rsidRPr="00D3564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стандарта Российской Федерации ГОСТ  Р 52770-2016 «Изделия медицинские. Требования безопасности. Методы </w:t>
      </w:r>
      <w:proofErr w:type="spellStart"/>
      <w:r w:rsidRPr="00D3564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санитарно</w:t>
      </w:r>
      <w:proofErr w:type="spellEnd"/>
      <w:r w:rsidRPr="00D3564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— химических и токсикологических испытаний».</w:t>
      </w:r>
    </w:p>
    <w:p w:rsidR="00D35645" w:rsidRPr="00D35645" w:rsidRDefault="00D35645" w:rsidP="00D3564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 CYR" w:eastAsia="Lucida Sans Unicode" w:hAnsi="Times New Roman CYR" w:cs="Times New Roman"/>
          <w:b/>
          <w:color w:val="000000"/>
          <w:kern w:val="3"/>
          <w:sz w:val="24"/>
          <w:szCs w:val="24"/>
          <w:lang w:bidi="en-US"/>
        </w:rPr>
      </w:pPr>
    </w:p>
    <w:p w:rsidR="00D35645" w:rsidRPr="00D35645" w:rsidRDefault="00D35645" w:rsidP="00D3564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 CYR" w:eastAsia="Lucida Sans Unicode" w:hAnsi="Times New Roman CYR" w:cs="Times New Roman"/>
          <w:b/>
          <w:color w:val="000000"/>
          <w:kern w:val="3"/>
          <w:sz w:val="24"/>
          <w:szCs w:val="24"/>
          <w:lang w:bidi="en-US"/>
        </w:rPr>
      </w:pPr>
      <w:r w:rsidRPr="00D35645">
        <w:rPr>
          <w:rFonts w:ascii="Times New Roman CYR" w:eastAsia="Lucida Sans Unicode" w:hAnsi="Times New Roman CYR" w:cs="Times New Roman"/>
          <w:b/>
          <w:color w:val="000000"/>
          <w:kern w:val="3"/>
          <w:sz w:val="24"/>
          <w:szCs w:val="24"/>
          <w:lang w:bidi="en-US"/>
        </w:rPr>
        <w:t>Срок поставки товара (выполнения работ, оказания услуг)</w:t>
      </w:r>
    </w:p>
    <w:p w:rsidR="00D35645" w:rsidRPr="00D35645" w:rsidRDefault="00D35645" w:rsidP="00D35645">
      <w:pPr>
        <w:suppressAutoHyphens/>
        <w:autoSpaceDN w:val="0"/>
        <w:spacing w:after="120" w:line="276" w:lineRule="auto"/>
        <w:ind w:left="30"/>
        <w:jc w:val="both"/>
        <w:textAlignment w:val="baseline"/>
        <w:rPr>
          <w:rFonts w:ascii="Calibri" w:eastAsia="Lucida Sans Unicode" w:hAnsi="Calibri" w:cs="Tahoma"/>
          <w:color w:val="000000"/>
          <w:kern w:val="3"/>
        </w:rPr>
      </w:pPr>
      <w:r w:rsidRPr="00D35645">
        <w:rPr>
          <w:rFonts w:ascii="Calibri" w:eastAsia="Lucida Sans Unicode" w:hAnsi="Calibri" w:cs="Tahoma"/>
          <w:color w:val="000000"/>
          <w:kern w:val="3"/>
        </w:rPr>
        <w:t xml:space="preserve">           </w:t>
      </w:r>
      <w:r w:rsidRPr="00D3564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Срок выполнения работ - в течение 60 (шестидесяти) календарных дней с даты получения от Заказчика Реестра Получателей, но не позднее 20 (двадцати) календарных дней с даты получения направления Исполнителем от Получателя. Направления принимаются Исполнителем не позднее 25.11.2019. В случае приема Направлений после указанного срока, Исполнитель принимает на себя обязательство по выполнению работ в срок до 23.12.2019.</w:t>
      </w:r>
    </w:p>
    <w:p w:rsidR="00D35645" w:rsidRPr="00D35645" w:rsidRDefault="00D35645" w:rsidP="00D3564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 CYR" w:eastAsia="Lucida Sans Unicode" w:hAnsi="Times New Roman CYR" w:cs="Tahoma"/>
          <w:b/>
          <w:kern w:val="3"/>
          <w:sz w:val="24"/>
        </w:rPr>
      </w:pPr>
      <w:r w:rsidRPr="00D35645">
        <w:rPr>
          <w:rFonts w:ascii="Times New Roman CYR" w:eastAsia="Lucida Sans Unicode" w:hAnsi="Times New Roman CYR" w:cs="Tahoma"/>
          <w:b/>
          <w:kern w:val="3"/>
          <w:sz w:val="24"/>
        </w:rPr>
        <w:t>Место поставки товара (выполнения работ, оказания услуг)</w:t>
      </w:r>
    </w:p>
    <w:p w:rsidR="00D35645" w:rsidRPr="00D35645" w:rsidRDefault="00D35645" w:rsidP="00D35645">
      <w:pPr>
        <w:suppressAutoHyphens/>
        <w:autoSpaceDN w:val="0"/>
        <w:spacing w:after="0" w:line="276" w:lineRule="auto"/>
        <w:textAlignment w:val="baseline"/>
        <w:rPr>
          <w:rFonts w:ascii="Calibri" w:eastAsia="Lucida Sans Unicode" w:hAnsi="Calibri" w:cs="Tahoma"/>
          <w:color w:val="000000"/>
          <w:kern w:val="3"/>
        </w:rPr>
      </w:pPr>
      <w:r w:rsidRPr="00D35645">
        <w:rPr>
          <w:rFonts w:ascii="Calibri" w:eastAsia="Lucida Sans Unicode" w:hAnsi="Calibri" w:cs="Tahoma"/>
          <w:color w:val="000000"/>
          <w:kern w:val="3"/>
        </w:rPr>
        <w:t> </w:t>
      </w:r>
    </w:p>
    <w:p w:rsidR="00D35645" w:rsidRPr="00D35645" w:rsidRDefault="00D35645" w:rsidP="00D35645">
      <w:pPr>
        <w:suppressAutoHyphens/>
        <w:autoSpaceDN w:val="0"/>
        <w:spacing w:after="0" w:line="276" w:lineRule="auto"/>
        <w:textAlignment w:val="baseline"/>
        <w:rPr>
          <w:rFonts w:ascii="Times New Roman CYR" w:eastAsia="Lucida Sans Unicode" w:hAnsi="Times New Roman CYR" w:cs="Tahoma"/>
          <w:color w:val="000000"/>
          <w:kern w:val="3"/>
          <w:sz w:val="24"/>
        </w:rPr>
      </w:pPr>
      <w:r w:rsidRPr="00D35645">
        <w:rPr>
          <w:rFonts w:ascii="Times New Roman CYR" w:eastAsia="Lucida Sans Unicode" w:hAnsi="Times New Roman CYR" w:cs="Tahoma"/>
          <w:color w:val="000000"/>
          <w:kern w:val="3"/>
          <w:sz w:val="24"/>
        </w:rPr>
        <w:t>Сибирский федеральный округ</w:t>
      </w:r>
    </w:p>
    <w:p w:rsidR="00D35645" w:rsidRPr="00D35645" w:rsidRDefault="00D35645" w:rsidP="00D3564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D35645" w:rsidRPr="00D35645" w:rsidRDefault="00D35645" w:rsidP="00D3564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D35645" w:rsidRPr="00D35645" w:rsidRDefault="00D35645" w:rsidP="00D35645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proofErr w:type="gramStart"/>
      <w:r w:rsidRPr="00D356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Требования  к</w:t>
      </w:r>
      <w:proofErr w:type="gramEnd"/>
      <w:r w:rsidRPr="00D356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размерам, упаковке и отгрузке  изделия</w:t>
      </w:r>
    </w:p>
    <w:p w:rsidR="00D35645" w:rsidRPr="00D35645" w:rsidRDefault="00D35645" w:rsidP="00D356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D35645">
        <w:rPr>
          <w:rFonts w:ascii="Times New Roman" w:eastAsia="Lucida Sans Unicode" w:hAnsi="Times New Roman" w:cs="Tahoma"/>
          <w:kern w:val="3"/>
          <w:sz w:val="24"/>
          <w:szCs w:val="24"/>
        </w:rPr>
        <w:tab/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D35645" w:rsidRPr="00D35645" w:rsidRDefault="00D35645" w:rsidP="00D35645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proofErr w:type="gramStart"/>
      <w:r w:rsidRPr="00D356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Требования  к</w:t>
      </w:r>
      <w:proofErr w:type="gramEnd"/>
      <w:r w:rsidRPr="00D356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 результатам работ</w:t>
      </w:r>
    </w:p>
    <w:p w:rsidR="00D35645" w:rsidRPr="00D35645" w:rsidRDefault="00D35645" w:rsidP="00D356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D35645">
        <w:rPr>
          <w:rFonts w:ascii="Times New Roman" w:eastAsia="Lucida Sans Unicode" w:hAnsi="Times New Roman" w:cs="Tahoma"/>
          <w:kern w:val="3"/>
          <w:sz w:val="24"/>
          <w:szCs w:val="24"/>
        </w:rPr>
        <w:tab/>
      </w:r>
      <w:proofErr w:type="gramStart"/>
      <w:r w:rsidRPr="00D35645">
        <w:rPr>
          <w:rFonts w:ascii="Times New Roman" w:eastAsia="Lucida Sans Unicode" w:hAnsi="Times New Roman" w:cs="Tahoma"/>
          <w:kern w:val="3"/>
          <w:sz w:val="24"/>
          <w:szCs w:val="24"/>
        </w:rPr>
        <w:t>Работы  по</w:t>
      </w:r>
      <w:proofErr w:type="gramEnd"/>
      <w:r w:rsidRPr="00D3564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обеспечению  пострадавших на  производстве  протезно-ортопедическими изделиями следует считать  эффективно   исполненными, если  у  пострадавшего на  производстве  восстановлена   опорная и  двигательная  функции конечности, созданы  условия  для  предупреждения  развития  деформации или  благоприятного  течения  болезни.  </w:t>
      </w:r>
      <w:proofErr w:type="gramStart"/>
      <w:r w:rsidRPr="00D35645">
        <w:rPr>
          <w:rFonts w:ascii="Times New Roman" w:eastAsia="Lucida Sans Unicode" w:hAnsi="Times New Roman" w:cs="Tahoma"/>
          <w:kern w:val="3"/>
          <w:sz w:val="24"/>
          <w:szCs w:val="24"/>
        </w:rPr>
        <w:t>Работы  по</w:t>
      </w:r>
      <w:proofErr w:type="gramEnd"/>
      <w:r w:rsidRPr="00D3564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обеспечению  пострадавших на  производстве  должны быть  выполнены  с  надлежащим  качеством  и в  установленные  сроки.</w:t>
      </w:r>
    </w:p>
    <w:p w:rsidR="00D35645" w:rsidRPr="00D35645" w:rsidRDefault="00D35645" w:rsidP="00D35645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 w:rsidRPr="00D356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Требования   </w:t>
      </w:r>
      <w:proofErr w:type="gramStart"/>
      <w:r w:rsidRPr="00D356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к  сроку</w:t>
      </w:r>
      <w:proofErr w:type="gramEnd"/>
      <w:r w:rsidRPr="00D356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 и (или)  объему предоставленных  гарантий  качества  выполнения  работ</w:t>
      </w:r>
    </w:p>
    <w:p w:rsidR="00D35645" w:rsidRPr="00D35645" w:rsidRDefault="00D35645" w:rsidP="00D356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 w:rsidRPr="00D35645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ab/>
      </w:r>
      <w:r w:rsidRPr="00D35645">
        <w:rPr>
          <w:rFonts w:ascii="Times New Roman" w:eastAsia="Lucida Sans Unicode" w:hAnsi="Times New Roman" w:cs="Tahoma"/>
          <w:kern w:val="3"/>
          <w:sz w:val="24"/>
          <w:szCs w:val="24"/>
        </w:rPr>
        <w:t>Исполнитель гарантирует, что результаты работ, выполненные в соответствии с условиями настоящего Контракта, надлежащего качества, не должны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D35645" w:rsidRPr="00D35645" w:rsidRDefault="00D35645" w:rsidP="00D35645">
      <w:pPr>
        <w:keepNext/>
        <w:keepLines/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D35645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Данная гарантия действительна в течение не менее 12 (двенадцати) месяцев после подписания Акта приема-передачи изделия.</w:t>
      </w:r>
    </w:p>
    <w:p w:rsidR="00D35645" w:rsidRPr="00D35645" w:rsidRDefault="00D35645" w:rsidP="00D3564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1"/>
          <w:szCs w:val="21"/>
        </w:rPr>
      </w:pPr>
    </w:p>
    <w:p w:rsidR="00D35645" w:rsidRPr="00D35645" w:rsidRDefault="00D35645" w:rsidP="00D356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5B124E" w:rsidRPr="00D35645" w:rsidRDefault="005B124E" w:rsidP="00D35645">
      <w:bookmarkStart w:id="0" w:name="_GoBack"/>
      <w:bookmarkEnd w:id="0"/>
    </w:p>
    <w:sectPr w:rsidR="005B124E" w:rsidRPr="00D35645" w:rsidSect="0029285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EB9"/>
    <w:multiLevelType w:val="multilevel"/>
    <w:tmpl w:val="1D9A09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EB970E1"/>
    <w:multiLevelType w:val="multilevel"/>
    <w:tmpl w:val="7E365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F944EF3"/>
    <w:multiLevelType w:val="multilevel"/>
    <w:tmpl w:val="25E2C6D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4F61CDF"/>
    <w:multiLevelType w:val="multilevel"/>
    <w:tmpl w:val="B238B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9D03FAA"/>
    <w:multiLevelType w:val="multilevel"/>
    <w:tmpl w:val="278ED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B6634E6"/>
    <w:multiLevelType w:val="hybridMultilevel"/>
    <w:tmpl w:val="AC3624B6"/>
    <w:lvl w:ilvl="0" w:tplc="1990E7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E742D4"/>
    <w:multiLevelType w:val="multilevel"/>
    <w:tmpl w:val="FC5AB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2445B54"/>
    <w:multiLevelType w:val="multilevel"/>
    <w:tmpl w:val="CE8EA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DE752BF"/>
    <w:multiLevelType w:val="multilevel"/>
    <w:tmpl w:val="77402ED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21"/>
    <w:rsid w:val="00036FA5"/>
    <w:rsid w:val="0017655C"/>
    <w:rsid w:val="00176EAD"/>
    <w:rsid w:val="00200FCB"/>
    <w:rsid w:val="0025013C"/>
    <w:rsid w:val="00292858"/>
    <w:rsid w:val="00464564"/>
    <w:rsid w:val="00480EFD"/>
    <w:rsid w:val="004934FD"/>
    <w:rsid w:val="004A1C61"/>
    <w:rsid w:val="005B124E"/>
    <w:rsid w:val="007F307E"/>
    <w:rsid w:val="00826D95"/>
    <w:rsid w:val="008A2809"/>
    <w:rsid w:val="008D6B48"/>
    <w:rsid w:val="008E3526"/>
    <w:rsid w:val="0092352C"/>
    <w:rsid w:val="00950107"/>
    <w:rsid w:val="00A75551"/>
    <w:rsid w:val="00A866AD"/>
    <w:rsid w:val="00B35221"/>
    <w:rsid w:val="00C50331"/>
    <w:rsid w:val="00CB7EF1"/>
    <w:rsid w:val="00D0121B"/>
    <w:rsid w:val="00D35645"/>
    <w:rsid w:val="00F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7F69-B884-4978-BBC1-D48972C0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11</cp:revision>
  <cp:lastPrinted>2018-12-27T08:09:00Z</cp:lastPrinted>
  <dcterms:created xsi:type="dcterms:W3CDTF">2018-11-27T04:22:00Z</dcterms:created>
  <dcterms:modified xsi:type="dcterms:W3CDTF">2019-01-17T11:37:00Z</dcterms:modified>
</cp:coreProperties>
</file>