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47D0" w:rsidRPr="00E41FA1" w:rsidRDefault="007C47D0" w:rsidP="006C1E19">
      <w:pPr>
        <w:jc w:val="center"/>
        <w:rPr>
          <w:b/>
          <w:sz w:val="26"/>
          <w:szCs w:val="26"/>
        </w:rPr>
      </w:pPr>
      <w:r w:rsidRPr="00E41FA1">
        <w:rPr>
          <w:b/>
          <w:sz w:val="26"/>
          <w:szCs w:val="26"/>
          <w:lang w:val="en-US"/>
        </w:rPr>
        <w:t>IV</w:t>
      </w:r>
      <w:r w:rsidRPr="00E41FA1">
        <w:rPr>
          <w:b/>
          <w:sz w:val="26"/>
          <w:szCs w:val="26"/>
        </w:rPr>
        <w:t>. Техническое задание</w:t>
      </w:r>
    </w:p>
    <w:p w:rsidR="006A25C7" w:rsidRDefault="006A25C7" w:rsidP="006A25C7">
      <w:pPr>
        <w:tabs>
          <w:tab w:val="left" w:pos="12208"/>
        </w:tabs>
        <w:spacing w:after="120"/>
        <w:jc w:val="center"/>
        <w:rPr>
          <w:rFonts w:eastAsia="Times New Roman CYR" w:cs="Times New Roman CYR"/>
          <w:b/>
          <w:bCs/>
          <w:color w:val="000000"/>
          <w:sz w:val="26"/>
          <w:szCs w:val="26"/>
        </w:rPr>
      </w:pPr>
      <w:r>
        <w:rPr>
          <w:rFonts w:eastAsia="Times New Roman CYR" w:cs="Times New Roman CYR"/>
          <w:b/>
          <w:bCs/>
          <w:color w:val="000000"/>
          <w:sz w:val="26"/>
          <w:szCs w:val="26"/>
        </w:rPr>
        <w:t>На в</w:t>
      </w:r>
      <w:r w:rsidRPr="006A25C7">
        <w:rPr>
          <w:rFonts w:eastAsia="Times New Roman CYR" w:cs="Times New Roman CYR"/>
          <w:b/>
          <w:bCs/>
          <w:color w:val="000000"/>
          <w:sz w:val="26"/>
          <w:szCs w:val="26"/>
        </w:rPr>
        <w:t>ыполнение работ для обеспечения застрахованных лиц, пострадавших вследствие несчастного случая на производстве в 2019 году протезами бедра.</w:t>
      </w:r>
    </w:p>
    <w:p w:rsidR="006000A8" w:rsidRDefault="00E41FA1" w:rsidP="00E41FA1">
      <w:pPr>
        <w:tabs>
          <w:tab w:val="left" w:pos="12208"/>
        </w:tabs>
        <w:spacing w:after="120"/>
        <w:rPr>
          <w:b/>
          <w:color w:val="000000"/>
          <w:sz w:val="26"/>
          <w:szCs w:val="26"/>
        </w:rPr>
      </w:pPr>
      <w:r w:rsidRPr="00E41FA1">
        <w:rPr>
          <w:b/>
          <w:color w:val="000000"/>
          <w:sz w:val="26"/>
          <w:szCs w:val="26"/>
        </w:rPr>
        <w:t xml:space="preserve">1. </w:t>
      </w:r>
      <w:r w:rsidR="007C47D0" w:rsidRPr="00E41FA1">
        <w:rPr>
          <w:b/>
          <w:color w:val="000000"/>
          <w:sz w:val="26"/>
          <w:szCs w:val="26"/>
        </w:rPr>
        <w:t>Основные требования к работам:</w:t>
      </w:r>
    </w:p>
    <w:tbl>
      <w:tblPr>
        <w:tblStyle w:val="aff2"/>
        <w:tblW w:w="8965" w:type="dxa"/>
        <w:tblLook w:val="04A0" w:firstRow="1" w:lastRow="0" w:firstColumn="1" w:lastColumn="0" w:noHBand="0" w:noVBand="1"/>
      </w:tblPr>
      <w:tblGrid>
        <w:gridCol w:w="1954"/>
        <w:gridCol w:w="5385"/>
        <w:gridCol w:w="1626"/>
      </w:tblGrid>
      <w:tr w:rsidR="006A25C7" w:rsidTr="006A25C7">
        <w:tc>
          <w:tcPr>
            <w:tcW w:w="1954" w:type="dxa"/>
          </w:tcPr>
          <w:p w:rsidR="006A25C7" w:rsidRDefault="006A25C7" w:rsidP="00E41FA1">
            <w:pPr>
              <w:tabs>
                <w:tab w:val="left" w:pos="12208"/>
              </w:tabs>
              <w:spacing w:after="120"/>
              <w:rPr>
                <w:b/>
                <w:color w:val="000000"/>
                <w:sz w:val="26"/>
                <w:szCs w:val="26"/>
              </w:rPr>
            </w:pPr>
            <w:r w:rsidRPr="00943CA4">
              <w:rPr>
                <w:b/>
              </w:rPr>
              <w:t>Наименование изделия</w:t>
            </w:r>
          </w:p>
        </w:tc>
        <w:tc>
          <w:tcPr>
            <w:tcW w:w="5385" w:type="dxa"/>
          </w:tcPr>
          <w:p w:rsidR="006A25C7" w:rsidRDefault="006A25C7" w:rsidP="0016372D">
            <w:pPr>
              <w:tabs>
                <w:tab w:val="left" w:pos="12208"/>
              </w:tabs>
              <w:spacing w:after="120"/>
              <w:jc w:val="center"/>
              <w:rPr>
                <w:b/>
                <w:color w:val="000000"/>
                <w:sz w:val="26"/>
                <w:szCs w:val="26"/>
              </w:rPr>
            </w:pPr>
            <w:r w:rsidRPr="00943CA4">
              <w:rPr>
                <w:b/>
              </w:rPr>
              <w:t>Описание изделия</w:t>
            </w:r>
          </w:p>
        </w:tc>
        <w:tc>
          <w:tcPr>
            <w:tcW w:w="1626" w:type="dxa"/>
          </w:tcPr>
          <w:p w:rsidR="006A25C7" w:rsidRDefault="006A25C7" w:rsidP="00E41FA1">
            <w:pPr>
              <w:tabs>
                <w:tab w:val="left" w:pos="12208"/>
              </w:tabs>
              <w:spacing w:after="120"/>
              <w:rPr>
                <w:b/>
                <w:color w:val="000000"/>
                <w:sz w:val="26"/>
                <w:szCs w:val="26"/>
              </w:rPr>
            </w:pPr>
            <w:r w:rsidRPr="00943CA4">
              <w:rPr>
                <w:b/>
              </w:rPr>
              <w:t>Стоимость за единицу</w:t>
            </w:r>
            <w:r>
              <w:rPr>
                <w:b/>
              </w:rPr>
              <w:t>, руб.</w:t>
            </w:r>
          </w:p>
        </w:tc>
      </w:tr>
      <w:tr w:rsidR="006A25C7" w:rsidTr="006A25C7">
        <w:tc>
          <w:tcPr>
            <w:tcW w:w="1954" w:type="dxa"/>
          </w:tcPr>
          <w:p w:rsidR="006A25C7" w:rsidRDefault="006A25C7" w:rsidP="00E41FA1">
            <w:pPr>
              <w:tabs>
                <w:tab w:val="left" w:pos="12208"/>
              </w:tabs>
              <w:spacing w:after="120"/>
              <w:rPr>
                <w:color w:val="000000"/>
              </w:rPr>
            </w:pPr>
            <w:r w:rsidRPr="00514817">
              <w:rPr>
                <w:bCs/>
                <w:color w:val="000000"/>
                <w:sz w:val="22"/>
                <w:szCs w:val="22"/>
              </w:rPr>
              <w:t>Протез бедра универсального назначения</w:t>
            </w:r>
          </w:p>
        </w:tc>
        <w:tc>
          <w:tcPr>
            <w:tcW w:w="5385" w:type="dxa"/>
          </w:tcPr>
          <w:p w:rsidR="006A25C7" w:rsidRDefault="006A25C7" w:rsidP="00194395">
            <w:pPr>
              <w:snapToGrid w:val="0"/>
              <w:jc w:val="both"/>
              <w:rPr>
                <w:color w:val="000000"/>
              </w:rPr>
            </w:pPr>
            <w:r w:rsidRPr="007A7535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Протез бедра  немодульный. 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7A7535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перлоновые</w:t>
            </w:r>
            <w:proofErr w:type="spellEnd"/>
            <w:r w:rsidRPr="007A7535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или </w:t>
            </w:r>
            <w:proofErr w:type="spellStart"/>
            <w:r w:rsidRPr="007A7535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силоновые</w:t>
            </w:r>
            <w:proofErr w:type="spellEnd"/>
            <w:r w:rsidRPr="007A7535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, допускается покрытие защитное плёночное.  Приёмная гильза унифицированная (без пробных гильз). Материал унифицированной постоянной гильзы - слоистый пластик на основе полиамидных или акриловых смол. Крепление протеза поясное, с использованием бандажа или вакуумное. Стопа шарнирная полиуретановая, монолитная.  Коленный шарнир одноосный с механизмом торможения максимальной готовности для немодульных протезов. 4 шерстяных чехла.  Тип протеза: постоянный. Гарантийный срок эксплуатации не менее 7 месяцев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 xml:space="preserve">Протез должен соответствовать требованиям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52770-2007 «Изделия медицинские. Требования безопасности», ГОСТ Р ИСО 22523-2007 «Протезы нижних конечностей и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наружные. </w:t>
            </w:r>
            <w:r>
              <w:rPr>
                <w:sz w:val="22"/>
                <w:szCs w:val="22"/>
              </w:rPr>
              <w:t xml:space="preserve">Требования и методы испытаний»,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ГОСТ Р 51632-2014 </w:t>
            </w:r>
            <w:r>
              <w:rPr>
                <w:sz w:val="22"/>
                <w:szCs w:val="22"/>
              </w:rPr>
              <w:t>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1626" w:type="dxa"/>
          </w:tcPr>
          <w:p w:rsidR="006A25C7" w:rsidRDefault="00DC51AB" w:rsidP="00E41FA1">
            <w:pPr>
              <w:tabs>
                <w:tab w:val="left" w:pos="12208"/>
              </w:tabs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33 590,59</w:t>
            </w:r>
          </w:p>
        </w:tc>
      </w:tr>
      <w:tr w:rsidR="00600F38" w:rsidTr="006A25C7">
        <w:tc>
          <w:tcPr>
            <w:tcW w:w="1954" w:type="dxa"/>
          </w:tcPr>
          <w:p w:rsidR="00600F38" w:rsidRPr="00514817" w:rsidRDefault="00600F38" w:rsidP="00E41FA1">
            <w:pPr>
              <w:tabs>
                <w:tab w:val="left" w:pos="12208"/>
              </w:tabs>
              <w:spacing w:after="120"/>
              <w:rPr>
                <w:bCs/>
                <w:color w:val="000000"/>
                <w:sz w:val="22"/>
                <w:szCs w:val="22"/>
              </w:rPr>
            </w:pPr>
            <w:r w:rsidRPr="00600F3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Протез бедра немодульный на опорную культю</w:t>
            </w:r>
          </w:p>
        </w:tc>
        <w:tc>
          <w:tcPr>
            <w:tcW w:w="5385" w:type="dxa"/>
          </w:tcPr>
          <w:p w:rsidR="0079626E" w:rsidRDefault="00600F38" w:rsidP="00194395">
            <w:pPr>
              <w:snapToGrid w:val="0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00F3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Протез бедра немодульный на опорную культю. Косметическая оболочка должна быть мягкая полиуретановая, косметическое покрытие облицовки – чулок </w:t>
            </w:r>
            <w:proofErr w:type="spellStart"/>
            <w:r w:rsidRPr="00600F3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силоновый</w:t>
            </w:r>
            <w:proofErr w:type="spellEnd"/>
            <w:r w:rsidRPr="00600F3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ортопедический. Приемная гильза должна быть унифицированной (покупная или изготовленная по типоразмерам, шаблонам</w:t>
            </w:r>
            <w:proofErr w:type="gramStart"/>
            <w:r w:rsidRPr="00600F3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),  с</w:t>
            </w:r>
            <w:proofErr w:type="gramEnd"/>
            <w:r w:rsidRPr="00600F3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одной приемной пробной гильзой из литьевого слоистого пластика на основе полиамидных смол, без вкладной гильзы, без чехла полимерного </w:t>
            </w:r>
            <w:proofErr w:type="spellStart"/>
            <w:r w:rsidRPr="00600F3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гелевого</w:t>
            </w:r>
            <w:proofErr w:type="spellEnd"/>
            <w:r w:rsidRPr="00600F3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, с креплением поясным с использованием кожаных полуфабрикатов (без шин)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600F38" w:rsidRPr="007A7535" w:rsidRDefault="00600F38" w:rsidP="00194395">
            <w:pPr>
              <w:snapToGrid w:val="0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7A7535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Тип протеза: постоянный. Гарантийный срок эксплуатации не менее 7 месяцев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 xml:space="preserve">Протез должен соответствовать требованиям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52770-2007 «Изделия медицинские. Требования безопасности», ГОСТ Р ИСО 22523-2007 «Протезы нижних конечностей и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наружные. </w:t>
            </w:r>
            <w:r>
              <w:rPr>
                <w:sz w:val="22"/>
                <w:szCs w:val="22"/>
              </w:rPr>
              <w:t xml:space="preserve">Требования и методы испытаний»,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ГОСТ Р 51632-2014 </w:t>
            </w:r>
            <w:r>
              <w:rPr>
                <w:sz w:val="22"/>
                <w:szCs w:val="22"/>
              </w:rPr>
              <w:t>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1626" w:type="dxa"/>
          </w:tcPr>
          <w:p w:rsidR="00600F38" w:rsidRDefault="00600F38" w:rsidP="00600F38">
            <w:pPr>
              <w:tabs>
                <w:tab w:val="left" w:pos="12208"/>
              </w:tabs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38 256,35</w:t>
            </w:r>
          </w:p>
        </w:tc>
      </w:tr>
      <w:tr w:rsidR="00600F38" w:rsidTr="006A25C7">
        <w:tc>
          <w:tcPr>
            <w:tcW w:w="1954" w:type="dxa"/>
          </w:tcPr>
          <w:p w:rsidR="00600F38" w:rsidRPr="00514817" w:rsidRDefault="0079626E" w:rsidP="00E41FA1">
            <w:pPr>
              <w:tabs>
                <w:tab w:val="left" w:pos="12208"/>
              </w:tabs>
              <w:spacing w:after="120"/>
              <w:rPr>
                <w:bCs/>
                <w:color w:val="000000"/>
                <w:sz w:val="22"/>
                <w:szCs w:val="22"/>
              </w:rPr>
            </w:pPr>
            <w:r w:rsidRPr="0079626E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Протез бедра немодульный с кожаной гильзой</w:t>
            </w:r>
          </w:p>
        </w:tc>
        <w:tc>
          <w:tcPr>
            <w:tcW w:w="5385" w:type="dxa"/>
          </w:tcPr>
          <w:p w:rsidR="00600F38" w:rsidRDefault="0079626E" w:rsidP="00194395">
            <w:pPr>
              <w:snapToGrid w:val="0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79626E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Протез бедра немодульный с кожаной гильзой.  Формообразующая часть косметической облицовки должна быть мягкая полиуретановая (листовой поролон). Косметическое покрытие облицовки - чулки ортопедические </w:t>
            </w:r>
            <w:proofErr w:type="spellStart"/>
            <w:r w:rsidRPr="0079626E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перлоновые</w:t>
            </w:r>
            <w:proofErr w:type="spellEnd"/>
            <w:r w:rsidRPr="0079626E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или </w:t>
            </w:r>
            <w:proofErr w:type="spellStart"/>
            <w:r w:rsidRPr="0079626E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силоновые</w:t>
            </w:r>
            <w:proofErr w:type="spellEnd"/>
            <w:r w:rsidRPr="0079626E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.  Приёмная гильза должна быть кожаной, унифицированной (без пробных гильз). Крепление протеза должно быть поясное или с использованием бандажа.  Стопа должна быть </w:t>
            </w:r>
            <w:proofErr w:type="spellStart"/>
            <w:r w:rsidRPr="0079626E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бесшарнирная</w:t>
            </w:r>
            <w:proofErr w:type="spellEnd"/>
            <w:r w:rsidRPr="0079626E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, полиуретановая, монолитная.</w:t>
            </w:r>
          </w:p>
          <w:p w:rsidR="0079626E" w:rsidRPr="007A7535" w:rsidRDefault="0079626E" w:rsidP="00194395">
            <w:pPr>
              <w:snapToGrid w:val="0"/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7A7535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Тип протеза: постоянный. Гарантийный срок эксплуатации не менее 7 месяцев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 xml:space="preserve">Протез должен соответствовать требованиям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52770-2007 «Изделия медицинские. Требования безопасности», ГОСТ Р ИСО 22523-2007 «Протезы нижних конечностей и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наружные. </w:t>
            </w:r>
            <w:r>
              <w:rPr>
                <w:sz w:val="22"/>
                <w:szCs w:val="22"/>
              </w:rPr>
              <w:t xml:space="preserve">Требования и методы испытаний»,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ГОСТ Р 51632-2014 </w:t>
            </w:r>
            <w:r>
              <w:rPr>
                <w:sz w:val="22"/>
                <w:szCs w:val="22"/>
              </w:rPr>
              <w:t>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1626" w:type="dxa"/>
          </w:tcPr>
          <w:p w:rsidR="00600F38" w:rsidRDefault="0079626E" w:rsidP="00E41FA1">
            <w:pPr>
              <w:tabs>
                <w:tab w:val="left" w:pos="12208"/>
              </w:tabs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31 822,96</w:t>
            </w:r>
          </w:p>
        </w:tc>
      </w:tr>
      <w:tr w:rsidR="006A25C7" w:rsidTr="006A25C7">
        <w:tc>
          <w:tcPr>
            <w:tcW w:w="1954" w:type="dxa"/>
          </w:tcPr>
          <w:p w:rsidR="006A25C7" w:rsidRDefault="006A25C7" w:rsidP="00E41FA1">
            <w:pPr>
              <w:tabs>
                <w:tab w:val="left" w:pos="12208"/>
              </w:tabs>
              <w:spacing w:after="120"/>
              <w:rPr>
                <w:color w:val="000000"/>
              </w:rPr>
            </w:pPr>
            <w:r w:rsidRPr="00E95228">
              <w:rPr>
                <w:bCs/>
                <w:color w:val="000000"/>
                <w:sz w:val="22"/>
                <w:szCs w:val="22"/>
              </w:rPr>
              <w:t>Проте</w:t>
            </w:r>
            <w:r w:rsidR="00A645AD">
              <w:rPr>
                <w:bCs/>
                <w:color w:val="000000"/>
                <w:sz w:val="22"/>
                <w:szCs w:val="22"/>
              </w:rPr>
              <w:t xml:space="preserve">з бедра модульный </w:t>
            </w:r>
            <w:r w:rsidRPr="00E95228">
              <w:rPr>
                <w:bCs/>
                <w:color w:val="000000"/>
                <w:sz w:val="22"/>
                <w:szCs w:val="22"/>
              </w:rPr>
              <w:t>с гильзой МПЛ</w:t>
            </w:r>
          </w:p>
        </w:tc>
        <w:tc>
          <w:tcPr>
            <w:tcW w:w="5385" w:type="dxa"/>
          </w:tcPr>
          <w:p w:rsidR="006A25C7" w:rsidRDefault="006A25C7" w:rsidP="00194395">
            <w:pPr>
              <w:snapToGrid w:val="0"/>
              <w:jc w:val="both"/>
              <w:rPr>
                <w:color w:val="000000"/>
              </w:rPr>
            </w:pPr>
            <w:r w:rsidRPr="007A75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Протез бедра модульный.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7A75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перлоновые</w:t>
            </w:r>
            <w:proofErr w:type="spellEnd"/>
            <w:r w:rsidRPr="007A75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или </w:t>
            </w:r>
            <w:proofErr w:type="spellStart"/>
            <w:r w:rsidRPr="007A75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силоновые</w:t>
            </w:r>
            <w:proofErr w:type="spellEnd"/>
            <w:r w:rsidRPr="007A7535">
              <w:rPr>
                <w:rFonts w:eastAsia="Times New Roman"/>
                <w:kern w:val="0"/>
                <w:sz w:val="22"/>
                <w:szCs w:val="22"/>
                <w:lang w:eastAsia="ru-RU"/>
              </w:rPr>
              <w:t>, допускается покрытие защитное плёночное. Приёмная гильза унифицированная (без пробных гильз). Материал унифицированной постоянной гильзы - слоистый пластик на основе полиамидных или акриловых смол. Крепление протеза поясное, с использованием бандажа или вакуумное. Регулировочно-соединительные устройства соответствуют весу инвалида. Стопа со средней степенью энергосбережения. Коленный шарнир полицентрический с «геометрическим замком» с зависимым механическим регулированием фаз сгибания-разгибания, материал сталь. 4 шерстяных чехла. Тип протеза: постоянный. Гарантийный срок эксплуатации  не менее12 месяцев.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D027DD">
              <w:rPr>
                <w:sz w:val="22"/>
                <w:szCs w:val="22"/>
              </w:rPr>
              <w:t>Гарантийный срок эксплуатации не менее  7 месяцев.</w:t>
            </w:r>
            <w:r>
              <w:rPr>
                <w:sz w:val="22"/>
                <w:szCs w:val="22"/>
              </w:rPr>
              <w:t xml:space="preserve"> Протез должен соответствовать требованиям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52770-2007 «Изделия медицинские. Требования безопасности», ГОСТ Р ИСО 22523-2007 «Протезы нижних конечностей и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наружные. </w:t>
            </w:r>
            <w:r>
              <w:rPr>
                <w:sz w:val="22"/>
                <w:szCs w:val="22"/>
              </w:rPr>
              <w:t xml:space="preserve">Требования и методы испытаний»,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ГОСТ Р 51632-2014 </w:t>
            </w:r>
            <w:r>
              <w:rPr>
                <w:sz w:val="22"/>
                <w:szCs w:val="22"/>
              </w:rPr>
              <w:t>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1626" w:type="dxa"/>
          </w:tcPr>
          <w:p w:rsidR="006A25C7" w:rsidRDefault="00DC51AB" w:rsidP="00E41FA1">
            <w:pPr>
              <w:tabs>
                <w:tab w:val="left" w:pos="12208"/>
              </w:tabs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105 257,85</w:t>
            </w:r>
          </w:p>
        </w:tc>
      </w:tr>
      <w:tr w:rsidR="006A25C7" w:rsidTr="006A25C7">
        <w:tc>
          <w:tcPr>
            <w:tcW w:w="1954" w:type="dxa"/>
          </w:tcPr>
          <w:p w:rsidR="006A25C7" w:rsidRPr="007A7535" w:rsidRDefault="006A25C7" w:rsidP="00023B73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A75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Протез бедра модульный</w:t>
            </w:r>
            <w:r w:rsidR="00600F3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7A75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 гильзой из </w:t>
            </w:r>
            <w:proofErr w:type="spellStart"/>
            <w:r w:rsidRPr="007A75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ортокрила</w:t>
            </w:r>
            <w:proofErr w:type="spellEnd"/>
          </w:p>
          <w:p w:rsidR="006A25C7" w:rsidRDefault="006A25C7" w:rsidP="00E41FA1">
            <w:pPr>
              <w:tabs>
                <w:tab w:val="left" w:pos="12208"/>
              </w:tabs>
              <w:spacing w:after="120"/>
              <w:rPr>
                <w:color w:val="000000"/>
              </w:rPr>
            </w:pPr>
          </w:p>
        </w:tc>
        <w:tc>
          <w:tcPr>
            <w:tcW w:w="5385" w:type="dxa"/>
          </w:tcPr>
          <w:p w:rsidR="006A25C7" w:rsidRPr="007A7535" w:rsidRDefault="006A25C7" w:rsidP="00023B73">
            <w:pPr>
              <w:widowControl/>
              <w:suppressAutoHyphens w:val="0"/>
              <w:spacing w:before="100" w:beforeAutospacing="1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A75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Протез бедра модульный.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7A75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перлоновые</w:t>
            </w:r>
            <w:proofErr w:type="spellEnd"/>
            <w:r w:rsidRPr="007A75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или </w:t>
            </w:r>
            <w:proofErr w:type="spellStart"/>
            <w:r w:rsidRPr="007A75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силоновые</w:t>
            </w:r>
            <w:proofErr w:type="spellEnd"/>
            <w:r w:rsidRPr="007A7535">
              <w:rPr>
                <w:rFonts w:eastAsia="Times New Roman"/>
                <w:kern w:val="0"/>
                <w:sz w:val="22"/>
                <w:szCs w:val="22"/>
                <w:lang w:eastAsia="ru-RU"/>
              </w:rPr>
              <w:t>, допускается покрытие защитное плёночное. Приёмная гильза индивидуальная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пластик. Крепление протеза поясное, с использованием бандажа или вакуумное. Регулировочно-соединительные устройства соответствуют весу инвалида. Стопа со средней степенью энергосбережения. Коленный шарнир полицентрический с «геометрическим замком» с зависимым механическим регулированием фаз сгибания-разгибания, материал сталь. Применяется поворотное устройство. 4 шерстяных чехла. Тип протеза: постоянный. Гарантийный срок эксплуатации  не менее 12 месяцев.</w:t>
            </w:r>
          </w:p>
          <w:p w:rsidR="006A25C7" w:rsidRDefault="006A25C7" w:rsidP="00023B73">
            <w:pPr>
              <w:snapToGrid w:val="0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Протез должен соответствовать требованиям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52770-2007 «Изделия медицинские. Требования безопасности», ГОСТ Р ИСО 22523-2007 «Протезы нижних конечностей и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наружные. </w:t>
            </w:r>
            <w:r>
              <w:rPr>
                <w:sz w:val="22"/>
                <w:szCs w:val="22"/>
              </w:rPr>
              <w:t xml:space="preserve">Требования и методы испытаний»,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ГОСТ Р 51632-2014 </w:t>
            </w:r>
            <w:r>
              <w:rPr>
                <w:sz w:val="22"/>
                <w:szCs w:val="22"/>
              </w:rPr>
              <w:t>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1626" w:type="dxa"/>
          </w:tcPr>
          <w:p w:rsidR="006A25C7" w:rsidRDefault="00A65109" w:rsidP="00E41FA1">
            <w:pPr>
              <w:tabs>
                <w:tab w:val="left" w:pos="12208"/>
              </w:tabs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154 885,53</w:t>
            </w:r>
          </w:p>
        </w:tc>
      </w:tr>
      <w:tr w:rsidR="006A25C7" w:rsidTr="006A25C7">
        <w:tc>
          <w:tcPr>
            <w:tcW w:w="1954" w:type="dxa"/>
          </w:tcPr>
          <w:p w:rsidR="006A25C7" w:rsidRPr="007A7535" w:rsidRDefault="006A25C7" w:rsidP="00023B73">
            <w:pPr>
              <w:snapToGrid w:val="0"/>
              <w:jc w:val="center"/>
              <w:rPr>
                <w:sz w:val="22"/>
                <w:szCs w:val="22"/>
              </w:rPr>
            </w:pPr>
            <w:r w:rsidRPr="007A7535">
              <w:rPr>
                <w:sz w:val="22"/>
                <w:szCs w:val="22"/>
              </w:rPr>
              <w:t xml:space="preserve">Протез бедра модульный комбинированный </w:t>
            </w:r>
          </w:p>
          <w:p w:rsidR="006A25C7" w:rsidRDefault="006A25C7" w:rsidP="00E41FA1">
            <w:pPr>
              <w:tabs>
                <w:tab w:val="left" w:pos="12208"/>
              </w:tabs>
              <w:spacing w:after="120"/>
              <w:rPr>
                <w:color w:val="000000"/>
              </w:rPr>
            </w:pPr>
          </w:p>
        </w:tc>
        <w:tc>
          <w:tcPr>
            <w:tcW w:w="5385" w:type="dxa"/>
          </w:tcPr>
          <w:p w:rsidR="006A25C7" w:rsidRPr="007A7535" w:rsidRDefault="006A25C7" w:rsidP="00023B73">
            <w:pPr>
              <w:snapToGrid w:val="0"/>
              <w:ind w:right="43" w:firstLine="76"/>
              <w:jc w:val="both"/>
              <w:rPr>
                <w:sz w:val="22"/>
                <w:szCs w:val="22"/>
              </w:rPr>
            </w:pPr>
            <w:r w:rsidRPr="007A7535">
              <w:rPr>
                <w:sz w:val="22"/>
                <w:szCs w:val="22"/>
              </w:rPr>
              <w:t xml:space="preserve">Протез бедра модульный. Формообразующая часть косметической облицовки — модульная мягкая полиуретановая или листовой поролон. Косметическое покрытие облицовки — чулки ортопедические </w:t>
            </w:r>
            <w:proofErr w:type="spellStart"/>
            <w:r w:rsidRPr="007A7535">
              <w:rPr>
                <w:sz w:val="22"/>
                <w:szCs w:val="22"/>
              </w:rPr>
              <w:t>перлоновые</w:t>
            </w:r>
            <w:proofErr w:type="spellEnd"/>
            <w:r w:rsidRPr="007A7535">
              <w:rPr>
                <w:sz w:val="22"/>
                <w:szCs w:val="22"/>
              </w:rPr>
              <w:t xml:space="preserve"> или </w:t>
            </w:r>
            <w:proofErr w:type="spellStart"/>
            <w:r w:rsidRPr="007A7535">
              <w:rPr>
                <w:sz w:val="22"/>
                <w:szCs w:val="22"/>
              </w:rPr>
              <w:t>силоновые</w:t>
            </w:r>
            <w:proofErr w:type="spellEnd"/>
            <w:r w:rsidRPr="007A7535">
              <w:rPr>
                <w:sz w:val="22"/>
                <w:szCs w:val="22"/>
              </w:rPr>
              <w:t>, допускается покрытие защитное пленочное. Приемная гильза индивидуальная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пластик. Крепление протеза поясное, с использованием бандажа или вакуумное. Регулировочно-соединительные устройства должны соответствовать весу инвалида. С механическим одноосным коленным шарниром с тормозным механизмом. Стопа с подвижным в сагиттальной плоскости голеностопный шарниром. Применяется поворотное устройство. 4 шерстяных чехла. Тип протеза: постоянный.</w:t>
            </w:r>
          </w:p>
          <w:p w:rsidR="006A25C7" w:rsidRDefault="006A25C7" w:rsidP="00023B73">
            <w:pPr>
              <w:snapToGrid w:val="0"/>
              <w:jc w:val="both"/>
              <w:rPr>
                <w:color w:val="000000"/>
              </w:rPr>
            </w:pPr>
            <w:r w:rsidRPr="007A7535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Гарантийный срок эксплуатации не менее 12 </w:t>
            </w:r>
            <w:proofErr w:type="spellStart"/>
            <w:r w:rsidRPr="007A7535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месяцев.</w:t>
            </w:r>
            <w:r>
              <w:rPr>
                <w:sz w:val="22"/>
                <w:szCs w:val="22"/>
              </w:rPr>
              <w:t>Протез</w:t>
            </w:r>
            <w:proofErr w:type="spellEnd"/>
            <w:r>
              <w:rPr>
                <w:sz w:val="22"/>
                <w:szCs w:val="22"/>
              </w:rPr>
              <w:t xml:space="preserve"> должен соответствовать требованиям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52770-2007 «Изделия медицинские. Требования безопасности», ГОСТ Р ИСО 22523-2007 «Протезы нижних конечностей и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наружные. </w:t>
            </w:r>
            <w:r>
              <w:rPr>
                <w:sz w:val="22"/>
                <w:szCs w:val="22"/>
              </w:rPr>
              <w:t xml:space="preserve">Требования и методы испытаний»,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ГОСТ Р 51632-2014 </w:t>
            </w:r>
            <w:r>
              <w:rPr>
                <w:sz w:val="22"/>
                <w:szCs w:val="22"/>
              </w:rPr>
              <w:t>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1626" w:type="dxa"/>
          </w:tcPr>
          <w:p w:rsidR="006A25C7" w:rsidRDefault="00D96E11" w:rsidP="00E41FA1">
            <w:pPr>
              <w:tabs>
                <w:tab w:val="left" w:pos="12208"/>
              </w:tabs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129 225,59</w:t>
            </w:r>
          </w:p>
        </w:tc>
      </w:tr>
      <w:tr w:rsidR="006A25C7" w:rsidTr="006A25C7">
        <w:tc>
          <w:tcPr>
            <w:tcW w:w="1954" w:type="dxa"/>
          </w:tcPr>
          <w:p w:rsidR="006A25C7" w:rsidRDefault="006A25C7" w:rsidP="006A25C7">
            <w:pPr>
              <w:tabs>
                <w:tab w:val="left" w:pos="12208"/>
              </w:tabs>
              <w:spacing w:after="120"/>
              <w:rPr>
                <w:b/>
                <w:color w:val="000000"/>
                <w:sz w:val="26"/>
                <w:szCs w:val="26"/>
              </w:rPr>
            </w:pPr>
            <w:r w:rsidRPr="007A7535">
              <w:rPr>
                <w:sz w:val="22"/>
                <w:szCs w:val="22"/>
              </w:rPr>
              <w:t xml:space="preserve">Протез </w:t>
            </w:r>
            <w:r w:rsidR="00654F4F">
              <w:rPr>
                <w:sz w:val="22"/>
                <w:szCs w:val="22"/>
              </w:rPr>
              <w:t>бедра модульный комбинированный</w:t>
            </w:r>
            <w:r w:rsidRPr="007A7535">
              <w:rPr>
                <w:sz w:val="22"/>
                <w:szCs w:val="22"/>
              </w:rPr>
              <w:t xml:space="preserve"> лечебно тренировочный</w:t>
            </w:r>
          </w:p>
        </w:tc>
        <w:tc>
          <w:tcPr>
            <w:tcW w:w="5385" w:type="dxa"/>
          </w:tcPr>
          <w:p w:rsidR="006A25C7" w:rsidRPr="00191209" w:rsidRDefault="006A25C7" w:rsidP="00654F4F">
            <w:pPr>
              <w:pStyle w:val="af4"/>
              <w:snapToGri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A7535">
              <w:rPr>
                <w:sz w:val="22"/>
                <w:szCs w:val="22"/>
              </w:rPr>
              <w:t>Протез бедра модульный</w:t>
            </w:r>
            <w:r w:rsidR="00654F4F">
              <w:rPr>
                <w:sz w:val="22"/>
                <w:szCs w:val="22"/>
              </w:rPr>
              <w:t xml:space="preserve">, </w:t>
            </w:r>
            <w:r w:rsidRPr="007A7535">
              <w:rPr>
                <w:sz w:val="22"/>
                <w:szCs w:val="22"/>
              </w:rPr>
              <w:t>комбинированный,</w:t>
            </w:r>
            <w:r w:rsidR="00654F4F">
              <w:rPr>
                <w:sz w:val="22"/>
                <w:szCs w:val="22"/>
              </w:rPr>
              <w:t xml:space="preserve"> </w:t>
            </w:r>
            <w:r w:rsidRPr="007A7535">
              <w:rPr>
                <w:sz w:val="22"/>
                <w:szCs w:val="22"/>
              </w:rPr>
              <w:t>лечебно-тренировочный. Формообразующая  часть косметической облицовки мягкая полиуретановая или листовой  поролон.  Косметическое покрытие облицовки чулки орт</w:t>
            </w:r>
            <w:r w:rsidR="00654F4F">
              <w:rPr>
                <w:sz w:val="22"/>
                <w:szCs w:val="22"/>
              </w:rPr>
              <w:t xml:space="preserve">опедические </w:t>
            </w:r>
            <w:proofErr w:type="spellStart"/>
            <w:r w:rsidR="00654F4F">
              <w:rPr>
                <w:sz w:val="22"/>
                <w:szCs w:val="22"/>
              </w:rPr>
              <w:t>перлоновые</w:t>
            </w:r>
            <w:proofErr w:type="spellEnd"/>
            <w:r w:rsidR="00654F4F">
              <w:rPr>
                <w:sz w:val="22"/>
                <w:szCs w:val="22"/>
              </w:rPr>
              <w:t xml:space="preserve">. </w:t>
            </w:r>
            <w:proofErr w:type="spellStart"/>
            <w:r w:rsidR="00654F4F">
              <w:rPr>
                <w:sz w:val="22"/>
                <w:szCs w:val="22"/>
              </w:rPr>
              <w:t>Приемна</w:t>
            </w:r>
            <w:proofErr w:type="spellEnd"/>
            <w:r w:rsidRPr="007A7535">
              <w:rPr>
                <w:sz w:val="22"/>
                <w:szCs w:val="22"/>
              </w:rPr>
              <w:t xml:space="preserve"> </w:t>
            </w:r>
            <w:proofErr w:type="gramStart"/>
            <w:r w:rsidRPr="007A7535">
              <w:rPr>
                <w:sz w:val="22"/>
                <w:szCs w:val="22"/>
              </w:rPr>
              <w:t>гильза</w:t>
            </w:r>
            <w:proofErr w:type="gramEnd"/>
            <w:r>
              <w:rPr>
                <w:sz w:val="22"/>
                <w:szCs w:val="22"/>
              </w:rPr>
              <w:t xml:space="preserve"> унифицированная (</w:t>
            </w:r>
            <w:r w:rsidRPr="007A7535">
              <w:rPr>
                <w:sz w:val="22"/>
                <w:szCs w:val="22"/>
              </w:rPr>
              <w:t xml:space="preserve">без пробных гильз) или индивидуальная (одна пробная гильза), две сменные гильзы для лечебно — тренировочных протезов. Материал  гильзы — листовой  термопластический  пластик, вкладная гильза изготовляется из </w:t>
            </w:r>
            <w:proofErr w:type="spellStart"/>
            <w:r w:rsidRPr="007A7535">
              <w:rPr>
                <w:sz w:val="22"/>
                <w:szCs w:val="22"/>
              </w:rPr>
              <w:t>вспененых</w:t>
            </w:r>
            <w:proofErr w:type="spellEnd"/>
            <w:r w:rsidRPr="007A7535">
              <w:rPr>
                <w:sz w:val="22"/>
                <w:szCs w:val="22"/>
              </w:rPr>
              <w:t xml:space="preserve"> материалов  или отсутствует. Крепление протеза поясное или вакуумное. Регулировочно- соединительные устройство выдерживает нагрузку до 125 кг</w:t>
            </w:r>
            <w:r>
              <w:rPr>
                <w:sz w:val="22"/>
                <w:szCs w:val="22"/>
              </w:rPr>
              <w:t xml:space="preserve"> </w:t>
            </w:r>
            <w:r w:rsidR="00654F4F">
              <w:rPr>
                <w:sz w:val="22"/>
                <w:szCs w:val="22"/>
              </w:rPr>
              <w:t xml:space="preserve">(включительно). </w:t>
            </w:r>
            <w:r w:rsidRPr="007A7535">
              <w:rPr>
                <w:sz w:val="22"/>
                <w:szCs w:val="22"/>
              </w:rPr>
              <w:t xml:space="preserve">Стопа со стандартным шарнир, коленный шарнир моноцентрический, с тормозом, толкателем. 4 шерстяных чехла Тип протеза лечебно-тренировочный  </w:t>
            </w:r>
            <w:r w:rsidRPr="007A7535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Гарантийный срок эксплуатации не менее 12  месяцев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 xml:space="preserve">Протез должен соответствовать требованиям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52770-2007 «Изделия медицинские. Требования безопасности», ГОСТ Р ИСО 22523-2007 «Протезы нижних конечностей и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наружные. </w:t>
            </w:r>
            <w:r>
              <w:rPr>
                <w:sz w:val="22"/>
                <w:szCs w:val="22"/>
              </w:rPr>
              <w:t xml:space="preserve">Требования и методы испытаний»,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ГОСТ Р 51632-2014 </w:t>
            </w:r>
            <w:r>
              <w:rPr>
                <w:sz w:val="22"/>
                <w:szCs w:val="22"/>
              </w:rPr>
              <w:t>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1626" w:type="dxa"/>
          </w:tcPr>
          <w:p w:rsidR="006A25C7" w:rsidRPr="005939A4" w:rsidRDefault="00DC51AB" w:rsidP="00E41FA1">
            <w:pPr>
              <w:tabs>
                <w:tab w:val="left" w:pos="12208"/>
              </w:tabs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  <w:r w:rsidR="00D96E1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606,96</w:t>
            </w:r>
          </w:p>
        </w:tc>
      </w:tr>
      <w:tr w:rsidR="006E20B4" w:rsidTr="006A25C7">
        <w:tc>
          <w:tcPr>
            <w:tcW w:w="1954" w:type="dxa"/>
          </w:tcPr>
          <w:p w:rsidR="006E20B4" w:rsidRDefault="006E20B4" w:rsidP="006A25C7">
            <w:pPr>
              <w:tabs>
                <w:tab w:val="left" w:pos="12208"/>
              </w:tabs>
              <w:spacing w:after="120"/>
              <w:rPr>
                <w:sz w:val="22"/>
                <w:szCs w:val="22"/>
              </w:rPr>
            </w:pPr>
            <w:r w:rsidRPr="006E20B4">
              <w:rPr>
                <w:sz w:val="22"/>
                <w:szCs w:val="22"/>
              </w:rPr>
              <w:t>Протез бедра модульный для купания</w:t>
            </w:r>
          </w:p>
          <w:p w:rsidR="006E20B4" w:rsidRPr="007A7535" w:rsidRDefault="006E20B4" w:rsidP="006A25C7">
            <w:pPr>
              <w:tabs>
                <w:tab w:val="left" w:pos="12208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5385" w:type="dxa"/>
          </w:tcPr>
          <w:p w:rsidR="006E20B4" w:rsidRPr="006E20B4" w:rsidRDefault="006E20B4" w:rsidP="006E20B4">
            <w:pPr>
              <w:pStyle w:val="af4"/>
              <w:snapToGrid w:val="0"/>
              <w:jc w:val="both"/>
              <w:rPr>
                <w:sz w:val="22"/>
                <w:szCs w:val="22"/>
              </w:rPr>
            </w:pPr>
            <w:r w:rsidRPr="006E20B4">
              <w:rPr>
                <w:sz w:val="22"/>
                <w:szCs w:val="22"/>
              </w:rPr>
              <w:t>Протез бедра модульный для купания. Без косметической облицовки. Приемная гильза индивидуальная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пластик. Крепление протеза вакуумное. Коленный шарнир гидравлический одноосный с замком, в разблокированном состоянии для управления фазой переноса, имеется воз</w:t>
            </w:r>
            <w:bookmarkStart w:id="0" w:name="_GoBack"/>
            <w:bookmarkEnd w:id="0"/>
            <w:r w:rsidRPr="006E20B4">
              <w:rPr>
                <w:sz w:val="22"/>
                <w:szCs w:val="22"/>
              </w:rPr>
              <w:t xml:space="preserve">можность независимой регулировки фазы сгибания и разгибания в соответствии с индивидуальными потребностями пациента. Стопа с повышенной упругостью в носочной части, имеет решетчатый профиль подошвы для хорошей </w:t>
            </w:r>
            <w:proofErr w:type="spellStart"/>
            <w:r w:rsidRPr="006E20B4">
              <w:rPr>
                <w:sz w:val="22"/>
                <w:szCs w:val="22"/>
              </w:rPr>
              <w:t>сцепл</w:t>
            </w:r>
            <w:r w:rsidR="00310A62">
              <w:rPr>
                <w:sz w:val="22"/>
                <w:szCs w:val="22"/>
              </w:rPr>
              <w:t>яемости</w:t>
            </w:r>
            <w:proofErr w:type="spellEnd"/>
            <w:r w:rsidR="00310A62">
              <w:rPr>
                <w:sz w:val="22"/>
                <w:szCs w:val="22"/>
              </w:rPr>
              <w:t xml:space="preserve"> </w:t>
            </w:r>
            <w:r w:rsidRPr="006E20B4">
              <w:rPr>
                <w:sz w:val="22"/>
                <w:szCs w:val="22"/>
              </w:rPr>
              <w:t xml:space="preserve">со скользкой поверхностью, со средней степенью энергосбережения. Полуфабрикаты, используемые при изготовлении протеза: с водостойким покрытием </w:t>
            </w:r>
            <w:proofErr w:type="spellStart"/>
            <w:r w:rsidRPr="006E20B4">
              <w:rPr>
                <w:sz w:val="22"/>
                <w:szCs w:val="22"/>
              </w:rPr>
              <w:t>икингстонными</w:t>
            </w:r>
            <w:proofErr w:type="spellEnd"/>
            <w:r w:rsidRPr="006E20B4">
              <w:rPr>
                <w:sz w:val="22"/>
                <w:szCs w:val="22"/>
              </w:rPr>
              <w:t xml:space="preserve"> отверстиями, с нагрузкой до 150 кг.</w:t>
            </w:r>
          </w:p>
          <w:p w:rsidR="006E20B4" w:rsidRDefault="006E20B4" w:rsidP="006E20B4">
            <w:pPr>
              <w:pStyle w:val="af4"/>
              <w:snapToGrid w:val="0"/>
              <w:jc w:val="both"/>
              <w:rPr>
                <w:sz w:val="22"/>
                <w:szCs w:val="22"/>
              </w:rPr>
            </w:pPr>
            <w:r w:rsidRPr="006E20B4">
              <w:rPr>
                <w:sz w:val="22"/>
                <w:szCs w:val="22"/>
              </w:rPr>
              <w:t>Назначения протеза: влажная среда, для приятия водных процедур.</w:t>
            </w:r>
            <w:r w:rsidR="00310A62">
              <w:rPr>
                <w:sz w:val="22"/>
                <w:szCs w:val="22"/>
              </w:rPr>
              <w:t xml:space="preserve"> Гарантийный срок эксплуатации </w:t>
            </w:r>
            <w:r w:rsidRPr="006E20B4">
              <w:rPr>
                <w:sz w:val="22"/>
                <w:szCs w:val="22"/>
              </w:rPr>
              <w:t>не менее 12 месяцев   выполнить работу надлежащего качества</w:t>
            </w:r>
            <w:r>
              <w:rPr>
                <w:sz w:val="22"/>
                <w:szCs w:val="22"/>
              </w:rPr>
              <w:t>.</w:t>
            </w:r>
          </w:p>
          <w:p w:rsidR="006E20B4" w:rsidRPr="007A7535" w:rsidRDefault="006E20B4" w:rsidP="006E20B4">
            <w:pPr>
              <w:pStyle w:val="af4"/>
              <w:snapToGrid w:val="0"/>
              <w:jc w:val="both"/>
              <w:rPr>
                <w:sz w:val="22"/>
                <w:szCs w:val="22"/>
              </w:rPr>
            </w:pPr>
            <w:r w:rsidRPr="007A7535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Гарантийны</w:t>
            </w:r>
            <w:r w:rsidR="00310A62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й срок эксплуатации не менее 12</w:t>
            </w:r>
            <w:r w:rsidRPr="007A7535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месяцев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 xml:space="preserve">Протез должен соответствовать требованиям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52770-2007 «Изделия медицинские. Требования безопасности», ГОСТ Р ИСО 22523-2007 «Протезы нижних конечностей и </w:t>
            </w:r>
            <w:proofErr w:type="spellStart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наружные. </w:t>
            </w:r>
            <w:r>
              <w:rPr>
                <w:sz w:val="22"/>
                <w:szCs w:val="22"/>
              </w:rPr>
              <w:t xml:space="preserve">Требования и методы испытаний»,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ГОСТ Р 51632-2014 </w:t>
            </w:r>
            <w:r>
              <w:rPr>
                <w:sz w:val="22"/>
                <w:szCs w:val="22"/>
              </w:rPr>
              <w:t>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</w:tc>
        <w:tc>
          <w:tcPr>
            <w:tcW w:w="1626" w:type="dxa"/>
          </w:tcPr>
          <w:p w:rsidR="006E20B4" w:rsidRDefault="006E20B4" w:rsidP="00E41FA1">
            <w:pPr>
              <w:tabs>
                <w:tab w:val="left" w:pos="12208"/>
              </w:tabs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173 914, 09</w:t>
            </w:r>
          </w:p>
        </w:tc>
      </w:tr>
    </w:tbl>
    <w:p w:rsidR="0016372D" w:rsidRPr="00E41FA1" w:rsidRDefault="00B24DEA" w:rsidP="00E41FA1">
      <w:pPr>
        <w:tabs>
          <w:tab w:val="left" w:pos="12208"/>
        </w:tabs>
        <w:spacing w:after="12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7C47D0" w:rsidRDefault="007C47D0">
      <w:pPr>
        <w:shd w:val="clear" w:color="auto" w:fill="FFFFFF"/>
        <w:tabs>
          <w:tab w:val="left" w:pos="-357"/>
        </w:tabs>
        <w:autoSpaceDE w:val="0"/>
        <w:ind w:firstLine="709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2. Дополнительные требования к работам и их результатам: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7762"/>
      </w:tblGrid>
      <w:tr w:rsidR="00426F1F" w:rsidTr="00426F1F">
        <w:tc>
          <w:tcPr>
            <w:tcW w:w="392" w:type="dxa"/>
          </w:tcPr>
          <w:p w:rsidR="00426F1F" w:rsidRPr="00D111FB" w:rsidRDefault="00D111FB">
            <w:pPr>
              <w:tabs>
                <w:tab w:val="left" w:pos="-357"/>
              </w:tabs>
              <w:autoSpaceDE w:val="0"/>
              <w:rPr>
                <w:bCs/>
                <w:color w:val="000000"/>
                <w:sz w:val="26"/>
                <w:szCs w:val="26"/>
              </w:rPr>
            </w:pPr>
            <w:r w:rsidRPr="00D111FB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426F1F" w:rsidRPr="00426F1F" w:rsidRDefault="00426F1F" w:rsidP="00426F1F">
            <w:pPr>
              <w:widowControl/>
              <w:suppressAutoHyphens w:val="0"/>
              <w:spacing w:before="147" w:after="147"/>
              <w:rPr>
                <w:rFonts w:eastAsia="Times New Roman"/>
                <w:kern w:val="0"/>
                <w:lang w:eastAsia="ru-RU"/>
              </w:rPr>
            </w:pPr>
            <w:r w:rsidRPr="00426F1F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Требования к качеству работ</w:t>
            </w:r>
          </w:p>
          <w:p w:rsidR="00426F1F" w:rsidRDefault="00426F1F">
            <w:pPr>
              <w:tabs>
                <w:tab w:val="left" w:pos="-357"/>
              </w:tabs>
              <w:autoSpaceDE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762" w:type="dxa"/>
          </w:tcPr>
          <w:p w:rsidR="00426F1F" w:rsidRDefault="002A7323" w:rsidP="00234EDE">
            <w:pPr>
              <w:widowControl/>
              <w:suppressAutoHyphens w:val="0"/>
              <w:spacing w:before="100" w:beforeAutospacing="1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20DA6">
              <w:rPr>
                <w:sz w:val="22"/>
                <w:szCs w:val="22"/>
              </w:rPr>
              <w:t xml:space="preserve">  Протезы нижних конечностей должны соответствовать требованиям ГОСТ Р 52877-2007 «Услуги по медицинской реабилитации инвалидов. Основные положения», ГОСТ Р 53874-2010 «Реабилитация инвалидов. Основные виды реабилитационных услуг», а также соответствовать Республиканскому стандарту РСФСР  РСТ  РСФСР 644-80 «Изделия протезно-ортопедические. Общие технические требования».</w:t>
            </w:r>
            <w:r w:rsidR="003F65E8">
              <w:rPr>
                <w:color w:val="000000"/>
                <w:sz w:val="22"/>
                <w:szCs w:val="22"/>
              </w:rPr>
              <w:t>»</w:t>
            </w:r>
          </w:p>
        </w:tc>
      </w:tr>
      <w:tr w:rsidR="00426F1F" w:rsidTr="00426F1F">
        <w:tc>
          <w:tcPr>
            <w:tcW w:w="392" w:type="dxa"/>
          </w:tcPr>
          <w:p w:rsidR="00426F1F" w:rsidRPr="00D111FB" w:rsidRDefault="00D111FB">
            <w:pPr>
              <w:tabs>
                <w:tab w:val="left" w:pos="-357"/>
              </w:tabs>
              <w:autoSpaceDE w:val="0"/>
              <w:rPr>
                <w:bCs/>
                <w:color w:val="000000"/>
                <w:sz w:val="26"/>
                <w:szCs w:val="26"/>
              </w:rPr>
            </w:pPr>
            <w:r w:rsidRPr="00D111FB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26F1F" w:rsidRPr="00426F1F" w:rsidRDefault="00426F1F" w:rsidP="00426F1F">
            <w:pPr>
              <w:widowControl/>
              <w:suppressAutoHyphens w:val="0"/>
              <w:spacing w:before="147" w:after="147"/>
              <w:ind w:right="147"/>
              <w:jc w:val="center"/>
              <w:rPr>
                <w:rFonts w:eastAsia="Times New Roman"/>
                <w:kern w:val="0"/>
                <w:lang w:eastAsia="ru-RU"/>
              </w:rPr>
            </w:pPr>
            <w:r w:rsidRPr="00426F1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Требования к техническим и функциональным характеристикам работ</w:t>
            </w:r>
          </w:p>
          <w:p w:rsidR="00426F1F" w:rsidRPr="00426F1F" w:rsidRDefault="00426F1F" w:rsidP="00426F1F">
            <w:pPr>
              <w:widowControl/>
              <w:suppressAutoHyphens w:val="0"/>
              <w:spacing w:before="100" w:beforeAutospacing="1"/>
              <w:ind w:right="147"/>
              <w:rPr>
                <w:rFonts w:eastAsia="Times New Roman"/>
                <w:kern w:val="0"/>
                <w:lang w:eastAsia="ru-RU"/>
              </w:rPr>
            </w:pPr>
          </w:p>
          <w:p w:rsidR="00426F1F" w:rsidRDefault="00426F1F">
            <w:pPr>
              <w:tabs>
                <w:tab w:val="left" w:pos="-357"/>
              </w:tabs>
              <w:autoSpaceDE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762" w:type="dxa"/>
          </w:tcPr>
          <w:p w:rsidR="00E20DA6" w:rsidRDefault="00E20DA6" w:rsidP="00E20DA6">
            <w:pPr>
              <w:tabs>
                <w:tab w:val="left" w:pos="709"/>
                <w:tab w:val="left" w:pos="1134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Выполняемые работы по обеспечению инвалидов (далее получателей) протезами нижних конечностей должны содержать комплекс медицинских, социальных и технических мероприятий,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</w:p>
          <w:p w:rsidR="00E20DA6" w:rsidRDefault="00E20DA6" w:rsidP="00E20DA6">
            <w:pPr>
              <w:tabs>
                <w:tab w:val="left" w:pos="709"/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получателей с помощью протезов конечностей.</w:t>
            </w:r>
          </w:p>
          <w:p w:rsidR="00E20DA6" w:rsidRDefault="00E20DA6" w:rsidP="00E20DA6">
            <w:pPr>
              <w:tabs>
                <w:tab w:val="left" w:pos="709"/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Приемная гильза протеза конечности должна изготавливаться по индивидуальному параметру получателя и предназначаться для размещения в ней культи или пораженной конечности, обеспечивая взаимодействие человека с протезом конечности.</w:t>
            </w:r>
          </w:p>
          <w:p w:rsidR="004254CD" w:rsidRDefault="00E20DA6" w:rsidP="00855F64">
            <w:pPr>
              <w:widowControl/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  Функциональный узел протеза конечности должен выполнять заданную функцию и иметь конструктивно-технологическую завершенность.</w:t>
            </w:r>
          </w:p>
        </w:tc>
      </w:tr>
      <w:tr w:rsidR="00426F1F" w:rsidTr="00426F1F">
        <w:tc>
          <w:tcPr>
            <w:tcW w:w="392" w:type="dxa"/>
          </w:tcPr>
          <w:p w:rsidR="00426F1F" w:rsidRPr="00D111FB" w:rsidRDefault="00D111FB">
            <w:pPr>
              <w:tabs>
                <w:tab w:val="left" w:pos="-357"/>
              </w:tabs>
              <w:autoSpaceDE w:val="0"/>
              <w:rPr>
                <w:bCs/>
                <w:color w:val="000000"/>
                <w:sz w:val="26"/>
                <w:szCs w:val="26"/>
              </w:rPr>
            </w:pPr>
            <w:r w:rsidRPr="00D111FB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426F1F" w:rsidRPr="00426F1F" w:rsidRDefault="00426F1F" w:rsidP="00426F1F">
            <w:pPr>
              <w:widowControl/>
              <w:suppressAutoHyphens w:val="0"/>
              <w:spacing w:before="100" w:beforeAutospacing="1"/>
              <w:ind w:left="-79"/>
              <w:rPr>
                <w:rFonts w:eastAsia="Times New Roman"/>
                <w:kern w:val="0"/>
                <w:lang w:eastAsia="ru-RU"/>
              </w:rPr>
            </w:pPr>
            <w:r w:rsidRPr="00426F1F">
              <w:rPr>
                <w:rFonts w:eastAsia="Times New Roman"/>
                <w:color w:val="000000"/>
                <w:kern w:val="0"/>
                <w:lang w:eastAsia="ru-RU"/>
              </w:rPr>
              <w:t>Т</w:t>
            </w:r>
            <w:r w:rsidRPr="00426F1F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ребования к результатам работ</w:t>
            </w:r>
          </w:p>
          <w:p w:rsidR="00426F1F" w:rsidRDefault="00426F1F">
            <w:pPr>
              <w:tabs>
                <w:tab w:val="left" w:pos="-357"/>
              </w:tabs>
              <w:autoSpaceDE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762" w:type="dxa"/>
          </w:tcPr>
          <w:p w:rsidR="00426F1F" w:rsidRDefault="00E20DA6" w:rsidP="00234EDE">
            <w:pPr>
              <w:widowControl/>
              <w:suppressAutoHyphens w:val="0"/>
              <w:spacing w:before="100" w:beforeAutospacing="1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sz w:val="22"/>
                <w:szCs w:val="22"/>
              </w:rPr>
              <w:t>Работы по обеспечению получателей протезами нижних конечностей следует считать эффективно исполненными, если у получателя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      </w:r>
          </w:p>
        </w:tc>
      </w:tr>
      <w:tr w:rsidR="00426F1F" w:rsidTr="003F65E8">
        <w:trPr>
          <w:trHeight w:val="3563"/>
        </w:trPr>
        <w:tc>
          <w:tcPr>
            <w:tcW w:w="392" w:type="dxa"/>
          </w:tcPr>
          <w:p w:rsidR="00426F1F" w:rsidRPr="00D111FB" w:rsidRDefault="00D111FB">
            <w:pPr>
              <w:tabs>
                <w:tab w:val="left" w:pos="-357"/>
              </w:tabs>
              <w:autoSpaceDE w:val="0"/>
              <w:rPr>
                <w:bCs/>
                <w:color w:val="000000"/>
                <w:sz w:val="26"/>
                <w:szCs w:val="26"/>
              </w:rPr>
            </w:pPr>
            <w:r w:rsidRPr="00D111FB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426F1F" w:rsidRPr="00426F1F" w:rsidRDefault="00426F1F" w:rsidP="00426F1F">
            <w:pPr>
              <w:widowControl/>
              <w:shd w:val="clear" w:color="auto" w:fill="FFFFFF"/>
              <w:suppressAutoHyphens w:val="0"/>
              <w:spacing w:before="100" w:beforeAutospacing="1"/>
              <w:ind w:right="45"/>
              <w:rPr>
                <w:rFonts w:eastAsia="Times New Roman"/>
                <w:kern w:val="0"/>
                <w:lang w:eastAsia="ru-RU"/>
              </w:rPr>
            </w:pPr>
            <w:r w:rsidRPr="00426F1F">
              <w:rPr>
                <w:rFonts w:eastAsia="Times New Roman"/>
                <w:color w:val="000000"/>
                <w:kern w:val="0"/>
                <w:lang w:eastAsia="ru-RU"/>
              </w:rPr>
              <w:t xml:space="preserve">Требования к маркировке, упаковке и транспортировке изделий </w:t>
            </w:r>
          </w:p>
          <w:p w:rsidR="00426F1F" w:rsidRDefault="00426F1F">
            <w:pPr>
              <w:tabs>
                <w:tab w:val="left" w:pos="-357"/>
              </w:tabs>
              <w:autoSpaceDE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762" w:type="dxa"/>
          </w:tcPr>
          <w:p w:rsidR="00E20DA6" w:rsidRDefault="00E20DA6" w:rsidP="00E20DA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необходимости отправка протезов от исполнителя к месту нахождения получателей должна осуществляться с соблюдением требований ГОСТ 20790-93/ГОСТ Р 50444-92 «Приборы аппараты и оборудование медицинские. Общие технические условия» и ГОСТ Р 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51632-2014 </w:t>
            </w:r>
            <w:r>
              <w:rPr>
                <w:sz w:val="22"/>
                <w:szCs w:val="22"/>
              </w:rPr>
              <w:t>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      </w:r>
          </w:p>
          <w:p w:rsidR="00426F1F" w:rsidRDefault="00E20DA6" w:rsidP="003F65E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 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Временная противокоррозионная защита протезов нижних конечностей производится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требования».</w:t>
            </w:r>
          </w:p>
        </w:tc>
      </w:tr>
      <w:tr w:rsidR="00426F1F" w:rsidTr="003F65E8">
        <w:trPr>
          <w:trHeight w:val="1417"/>
        </w:trPr>
        <w:tc>
          <w:tcPr>
            <w:tcW w:w="392" w:type="dxa"/>
          </w:tcPr>
          <w:p w:rsidR="00426F1F" w:rsidRPr="00D111FB" w:rsidRDefault="00D111FB">
            <w:pPr>
              <w:tabs>
                <w:tab w:val="left" w:pos="-357"/>
              </w:tabs>
              <w:autoSpaceDE w:val="0"/>
              <w:rPr>
                <w:bCs/>
                <w:color w:val="000000"/>
                <w:sz w:val="26"/>
                <w:szCs w:val="26"/>
              </w:rPr>
            </w:pPr>
            <w:r w:rsidRPr="00D111FB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426F1F" w:rsidRDefault="00426F1F" w:rsidP="003F65E8">
            <w:pPr>
              <w:widowControl/>
              <w:shd w:val="clear" w:color="auto" w:fill="FFFFFF"/>
              <w:suppressAutoHyphens w:val="0"/>
              <w:spacing w:before="147" w:after="147"/>
              <w:ind w:right="4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26F1F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Требования к срокам и объему предоставления гарантии качества работ</w:t>
            </w:r>
          </w:p>
        </w:tc>
        <w:tc>
          <w:tcPr>
            <w:tcW w:w="7762" w:type="dxa"/>
          </w:tcPr>
          <w:p w:rsidR="007753BA" w:rsidRPr="00426F1F" w:rsidRDefault="00E20DA6" w:rsidP="007753BA">
            <w:pPr>
              <w:widowControl/>
              <w:suppressAutoHyphens w:val="0"/>
              <w:spacing w:before="100" w:beforeAutospacing="1"/>
              <w:rPr>
                <w:rFonts w:eastAsia="Times New Roman"/>
                <w:kern w:val="0"/>
                <w:lang w:eastAsia="ru-RU"/>
              </w:rPr>
            </w:pPr>
            <w:r w:rsidRPr="00426F1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Гарантийный срок на протез устанавливается со дня выдачи готового протезно-ортопедического изделия в эксплуатацию в соответствии с РСТ РСФСР 644-80 «Изделия протезно-ортопедические». </w:t>
            </w:r>
          </w:p>
          <w:p w:rsidR="00426F1F" w:rsidRDefault="00426F1F">
            <w:pPr>
              <w:tabs>
                <w:tab w:val="left" w:pos="-357"/>
              </w:tabs>
              <w:autoSpaceDE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26F1F" w:rsidTr="00426F1F">
        <w:tc>
          <w:tcPr>
            <w:tcW w:w="392" w:type="dxa"/>
          </w:tcPr>
          <w:p w:rsidR="00426F1F" w:rsidRPr="00D111FB" w:rsidRDefault="00D111FB">
            <w:pPr>
              <w:tabs>
                <w:tab w:val="left" w:pos="-357"/>
              </w:tabs>
              <w:autoSpaceDE w:val="0"/>
              <w:rPr>
                <w:bCs/>
                <w:color w:val="000000"/>
                <w:sz w:val="26"/>
                <w:szCs w:val="26"/>
              </w:rPr>
            </w:pPr>
            <w:r w:rsidRPr="00D111FB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426F1F" w:rsidRDefault="00426F1F" w:rsidP="003F65E8">
            <w:pPr>
              <w:widowControl/>
              <w:shd w:val="clear" w:color="auto" w:fill="FFFFFF"/>
              <w:suppressAutoHyphens w:val="0"/>
              <w:spacing w:before="147" w:after="147"/>
              <w:ind w:right="4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26F1F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Информация о сроке службы на изделия</w:t>
            </w:r>
          </w:p>
        </w:tc>
        <w:tc>
          <w:tcPr>
            <w:tcW w:w="7762" w:type="dxa"/>
          </w:tcPr>
          <w:p w:rsidR="00426F1F" w:rsidRDefault="007753BA">
            <w:pPr>
              <w:tabs>
                <w:tab w:val="left" w:pos="-357"/>
              </w:tabs>
              <w:autoSpaceDE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sz w:val="22"/>
                <w:szCs w:val="22"/>
              </w:rPr>
              <w:t xml:space="preserve">В течение 3 (трех) рабочих дней со дня опубликования протокола подведения итогов в сети Интернет Заказчику будет представлен документ, содержащий данные о конкретном сроке службы по каждому виду изделий/срок службы не установлен </w:t>
            </w:r>
            <w:r>
              <w:rPr>
                <w:bCs/>
                <w:i/>
                <w:sz w:val="22"/>
                <w:szCs w:val="22"/>
              </w:rPr>
              <w:t>(указать конкретное условие)</w:t>
            </w:r>
          </w:p>
        </w:tc>
      </w:tr>
    </w:tbl>
    <w:p w:rsidR="00CE159D" w:rsidRDefault="00CE159D">
      <w:pPr>
        <w:shd w:val="clear" w:color="auto" w:fill="FFFFFF"/>
        <w:tabs>
          <w:tab w:val="left" w:pos="-357"/>
        </w:tabs>
        <w:autoSpaceDE w:val="0"/>
        <w:ind w:firstLine="709"/>
        <w:rPr>
          <w:b/>
          <w:bCs/>
          <w:color w:val="000000"/>
          <w:sz w:val="26"/>
          <w:szCs w:val="26"/>
        </w:rPr>
      </w:pPr>
    </w:p>
    <w:p w:rsidR="00CE159D" w:rsidRDefault="00CE159D">
      <w:pPr>
        <w:shd w:val="clear" w:color="auto" w:fill="FFFFFF"/>
        <w:tabs>
          <w:tab w:val="left" w:pos="-357"/>
        </w:tabs>
        <w:autoSpaceDE w:val="0"/>
        <w:ind w:firstLine="709"/>
        <w:rPr>
          <w:b/>
          <w:bCs/>
          <w:color w:val="000000"/>
          <w:sz w:val="26"/>
          <w:szCs w:val="26"/>
        </w:rPr>
      </w:pPr>
    </w:p>
    <w:p w:rsidR="007C47D0" w:rsidRDefault="007C47D0" w:rsidP="0092167B">
      <w:pPr>
        <w:ind w:firstLine="426"/>
        <w:rPr>
          <w:color w:val="000000"/>
          <w:spacing w:val="-6"/>
          <w:sz w:val="26"/>
          <w:szCs w:val="26"/>
        </w:rPr>
      </w:pPr>
      <w:r>
        <w:rPr>
          <w:b/>
          <w:bCs/>
          <w:sz w:val="26"/>
          <w:szCs w:val="26"/>
        </w:rPr>
        <w:t xml:space="preserve">3.  Срок выполнения работ: </w:t>
      </w:r>
      <w:r w:rsidR="00230673">
        <w:rPr>
          <w:color w:val="000000"/>
          <w:spacing w:val="-6"/>
          <w:sz w:val="26"/>
          <w:szCs w:val="26"/>
        </w:rPr>
        <w:t>до</w:t>
      </w:r>
      <w:r>
        <w:rPr>
          <w:color w:val="000000"/>
          <w:spacing w:val="-6"/>
          <w:sz w:val="26"/>
          <w:szCs w:val="26"/>
        </w:rPr>
        <w:t xml:space="preserve"> </w:t>
      </w:r>
      <w:r w:rsidR="00023B73">
        <w:rPr>
          <w:color w:val="000000"/>
          <w:spacing w:val="-6"/>
          <w:sz w:val="26"/>
          <w:szCs w:val="26"/>
        </w:rPr>
        <w:t>15.12.201</w:t>
      </w:r>
      <w:r w:rsidR="003F65E8">
        <w:rPr>
          <w:color w:val="000000"/>
          <w:spacing w:val="-6"/>
          <w:sz w:val="26"/>
          <w:szCs w:val="26"/>
        </w:rPr>
        <w:t>9</w:t>
      </w:r>
      <w:r w:rsidR="0085208A">
        <w:rPr>
          <w:color w:val="000000"/>
          <w:spacing w:val="-6"/>
          <w:sz w:val="26"/>
          <w:szCs w:val="26"/>
        </w:rPr>
        <w:t xml:space="preserve"> г.</w:t>
      </w:r>
    </w:p>
    <w:p w:rsidR="007C47D0" w:rsidRDefault="007C47D0" w:rsidP="0092167B">
      <w:pPr>
        <w:shd w:val="clear" w:color="auto" w:fill="FFFFFF"/>
        <w:spacing w:line="200" w:lineRule="atLeast"/>
        <w:ind w:right="141" w:firstLine="426"/>
        <w:jc w:val="both"/>
        <w:rPr>
          <w:bCs/>
          <w:color w:val="000000"/>
          <w:spacing w:val="-6"/>
          <w:sz w:val="26"/>
          <w:szCs w:val="26"/>
        </w:rPr>
      </w:pPr>
      <w:r>
        <w:rPr>
          <w:b/>
          <w:sz w:val="26"/>
          <w:szCs w:val="26"/>
        </w:rPr>
        <w:t xml:space="preserve">4. Место выполнения работ: </w:t>
      </w:r>
      <w:r>
        <w:rPr>
          <w:color w:val="000000"/>
          <w:spacing w:val="-6"/>
          <w:sz w:val="26"/>
          <w:szCs w:val="26"/>
        </w:rPr>
        <w:t>по</w:t>
      </w:r>
      <w:r>
        <w:rPr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>месту изготовления протез</w:t>
      </w:r>
      <w:r w:rsidR="00DE71EE">
        <w:rPr>
          <w:color w:val="000000"/>
          <w:spacing w:val="-6"/>
          <w:sz w:val="26"/>
          <w:szCs w:val="26"/>
        </w:rPr>
        <w:t>ов</w:t>
      </w:r>
      <w:r>
        <w:rPr>
          <w:color w:val="000000"/>
          <w:spacing w:val="-6"/>
          <w:sz w:val="26"/>
          <w:szCs w:val="26"/>
        </w:rPr>
        <w:t>,</w:t>
      </w:r>
      <w:r>
        <w:rPr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>по индивидуальному заказу, при наличии направления Фонда.</w:t>
      </w:r>
      <w:r>
        <w:rPr>
          <w:bCs/>
          <w:color w:val="000000"/>
          <w:spacing w:val="-6"/>
          <w:sz w:val="26"/>
          <w:szCs w:val="26"/>
        </w:rPr>
        <w:t xml:space="preserve"> </w:t>
      </w:r>
    </w:p>
    <w:p w:rsidR="007C47D0" w:rsidRDefault="007C47D0" w:rsidP="0092167B">
      <w:pPr>
        <w:ind w:firstLine="426"/>
        <w:rPr>
          <w:color w:val="000000"/>
          <w:spacing w:val="-6"/>
          <w:sz w:val="26"/>
          <w:szCs w:val="26"/>
        </w:rPr>
      </w:pPr>
      <w:r>
        <w:rPr>
          <w:b/>
          <w:bCs/>
          <w:color w:val="000000"/>
          <w:spacing w:val="-6"/>
          <w:sz w:val="26"/>
          <w:szCs w:val="26"/>
        </w:rPr>
        <w:t>5.  Объем выполняемых работ:</w:t>
      </w:r>
      <w:r w:rsidR="00D47664">
        <w:rPr>
          <w:b/>
          <w:bCs/>
          <w:color w:val="000000"/>
          <w:spacing w:val="-6"/>
          <w:sz w:val="26"/>
          <w:szCs w:val="26"/>
        </w:rPr>
        <w:t xml:space="preserve"> </w:t>
      </w:r>
      <w:r w:rsidR="003F65E8">
        <w:rPr>
          <w:bCs/>
          <w:color w:val="000000"/>
          <w:spacing w:val="-6"/>
          <w:sz w:val="26"/>
          <w:szCs w:val="26"/>
        </w:rPr>
        <w:t xml:space="preserve">21 </w:t>
      </w:r>
      <w:r>
        <w:rPr>
          <w:color w:val="000000"/>
          <w:spacing w:val="-6"/>
          <w:sz w:val="26"/>
          <w:szCs w:val="26"/>
        </w:rPr>
        <w:t>шт.</w:t>
      </w:r>
    </w:p>
    <w:sectPr w:rsidR="007C47D0" w:rsidSect="00790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76" w:right="624" w:bottom="776" w:left="851" w:header="720" w:footer="720" w:gutter="0"/>
      <w:cols w:space="720"/>
      <w:docGrid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5C7" w:rsidRDefault="006A25C7">
      <w:r>
        <w:separator/>
      </w:r>
    </w:p>
  </w:endnote>
  <w:endnote w:type="continuationSeparator" w:id="0">
    <w:p w:rsidR="006A25C7" w:rsidRDefault="006A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Courier New"/>
    <w:charset w:val="CC"/>
    <w:family w:val="roman"/>
    <w:pitch w:val="variable"/>
  </w:font>
  <w:font w:name="GaramondNarrowC">
    <w:altName w:val="Courier New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C7" w:rsidRPr="00790F7E" w:rsidRDefault="006A25C7" w:rsidP="00790F7E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2642928"/>
      <w:docPartObj>
        <w:docPartGallery w:val="Page Numbers (Bottom of Page)"/>
        <w:docPartUnique/>
      </w:docPartObj>
    </w:sdtPr>
    <w:sdtContent>
      <w:p w:rsidR="006A25C7" w:rsidRDefault="006A25C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ADC">
          <w:rPr>
            <w:noProof/>
          </w:rPr>
          <w:t>6</w:t>
        </w:r>
        <w:r>
          <w:fldChar w:fldCharType="end"/>
        </w:r>
      </w:p>
    </w:sdtContent>
  </w:sdt>
  <w:p w:rsidR="006A25C7" w:rsidRPr="00790F7E" w:rsidRDefault="006A25C7" w:rsidP="00790F7E">
    <w:pPr>
      <w:pStyle w:val="af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C7" w:rsidRDefault="006A25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5C7" w:rsidRDefault="006A25C7">
      <w:r>
        <w:separator/>
      </w:r>
    </w:p>
  </w:footnote>
  <w:footnote w:type="continuationSeparator" w:id="0">
    <w:p w:rsidR="006A25C7" w:rsidRDefault="006A2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C7" w:rsidRDefault="006A25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C7" w:rsidRDefault="006A25C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C7" w:rsidRDefault="006A25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971323"/>
    <w:multiLevelType w:val="hybridMultilevel"/>
    <w:tmpl w:val="279E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C3A36"/>
    <w:multiLevelType w:val="hybridMultilevel"/>
    <w:tmpl w:val="5B0C44BA"/>
    <w:lvl w:ilvl="0" w:tplc="C91AA4A2">
      <w:start w:val="1"/>
      <w:numFmt w:val="bullet"/>
      <w:lvlText w:val="-"/>
      <w:lvlJc w:val="left"/>
      <w:pPr>
        <w:tabs>
          <w:tab w:val="num" w:pos="884"/>
        </w:tabs>
        <w:ind w:left="884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6B"/>
    <w:rsid w:val="00000482"/>
    <w:rsid w:val="000111C9"/>
    <w:rsid w:val="000125F9"/>
    <w:rsid w:val="0002000B"/>
    <w:rsid w:val="000201D8"/>
    <w:rsid w:val="000222FC"/>
    <w:rsid w:val="00022E4B"/>
    <w:rsid w:val="00023B73"/>
    <w:rsid w:val="00031D55"/>
    <w:rsid w:val="00043034"/>
    <w:rsid w:val="00046A6E"/>
    <w:rsid w:val="000534B3"/>
    <w:rsid w:val="00057382"/>
    <w:rsid w:val="0006121A"/>
    <w:rsid w:val="00061645"/>
    <w:rsid w:val="000641DB"/>
    <w:rsid w:val="00072A13"/>
    <w:rsid w:val="00080632"/>
    <w:rsid w:val="00096844"/>
    <w:rsid w:val="000A2588"/>
    <w:rsid w:val="000A3344"/>
    <w:rsid w:val="000B3137"/>
    <w:rsid w:val="000B3B2D"/>
    <w:rsid w:val="000B3DBA"/>
    <w:rsid w:val="000D0655"/>
    <w:rsid w:val="000D3359"/>
    <w:rsid w:val="000D34A7"/>
    <w:rsid w:val="000D465A"/>
    <w:rsid w:val="000E2C2A"/>
    <w:rsid w:val="000F5ADD"/>
    <w:rsid w:val="00104204"/>
    <w:rsid w:val="0010513C"/>
    <w:rsid w:val="001123C5"/>
    <w:rsid w:val="00112BE2"/>
    <w:rsid w:val="00121793"/>
    <w:rsid w:val="00126F97"/>
    <w:rsid w:val="00132B57"/>
    <w:rsid w:val="00137369"/>
    <w:rsid w:val="00142B0A"/>
    <w:rsid w:val="00146AC8"/>
    <w:rsid w:val="0015315D"/>
    <w:rsid w:val="001554C0"/>
    <w:rsid w:val="001567A3"/>
    <w:rsid w:val="001612B4"/>
    <w:rsid w:val="0016372D"/>
    <w:rsid w:val="001700BD"/>
    <w:rsid w:val="00171BC8"/>
    <w:rsid w:val="00180104"/>
    <w:rsid w:val="001819DF"/>
    <w:rsid w:val="00185ADC"/>
    <w:rsid w:val="00191209"/>
    <w:rsid w:val="00192BE3"/>
    <w:rsid w:val="00194395"/>
    <w:rsid w:val="001950F4"/>
    <w:rsid w:val="001A0EC2"/>
    <w:rsid w:val="001C1C56"/>
    <w:rsid w:val="001C566F"/>
    <w:rsid w:val="001D2FAF"/>
    <w:rsid w:val="001F58C5"/>
    <w:rsid w:val="002059C5"/>
    <w:rsid w:val="00216550"/>
    <w:rsid w:val="00220702"/>
    <w:rsid w:val="002214CF"/>
    <w:rsid w:val="00230673"/>
    <w:rsid w:val="00234EDE"/>
    <w:rsid w:val="002360FC"/>
    <w:rsid w:val="00236A30"/>
    <w:rsid w:val="00236ACA"/>
    <w:rsid w:val="00242923"/>
    <w:rsid w:val="00242E18"/>
    <w:rsid w:val="00251CF4"/>
    <w:rsid w:val="00255823"/>
    <w:rsid w:val="0026077F"/>
    <w:rsid w:val="0026436A"/>
    <w:rsid w:val="0026732D"/>
    <w:rsid w:val="0027511B"/>
    <w:rsid w:val="00275254"/>
    <w:rsid w:val="00280291"/>
    <w:rsid w:val="0028452D"/>
    <w:rsid w:val="00287738"/>
    <w:rsid w:val="0029187A"/>
    <w:rsid w:val="00294E31"/>
    <w:rsid w:val="002A6FCE"/>
    <w:rsid w:val="002A7323"/>
    <w:rsid w:val="002B0A26"/>
    <w:rsid w:val="002B7E66"/>
    <w:rsid w:val="002C063E"/>
    <w:rsid w:val="002D5440"/>
    <w:rsid w:val="002D54BA"/>
    <w:rsid w:val="002E0AFD"/>
    <w:rsid w:val="002E63A8"/>
    <w:rsid w:val="002F2B6B"/>
    <w:rsid w:val="002F431C"/>
    <w:rsid w:val="002F6FC8"/>
    <w:rsid w:val="002F7917"/>
    <w:rsid w:val="00304CEA"/>
    <w:rsid w:val="00306EDC"/>
    <w:rsid w:val="00310A62"/>
    <w:rsid w:val="003116F9"/>
    <w:rsid w:val="00314DD4"/>
    <w:rsid w:val="00321DA5"/>
    <w:rsid w:val="0032383F"/>
    <w:rsid w:val="00326054"/>
    <w:rsid w:val="0033050B"/>
    <w:rsid w:val="0033153D"/>
    <w:rsid w:val="00331872"/>
    <w:rsid w:val="00333832"/>
    <w:rsid w:val="00340C32"/>
    <w:rsid w:val="003424F3"/>
    <w:rsid w:val="0035198A"/>
    <w:rsid w:val="0035229E"/>
    <w:rsid w:val="00362E0B"/>
    <w:rsid w:val="00364962"/>
    <w:rsid w:val="0036792E"/>
    <w:rsid w:val="00370101"/>
    <w:rsid w:val="00370A4D"/>
    <w:rsid w:val="003743D1"/>
    <w:rsid w:val="00380182"/>
    <w:rsid w:val="0038062B"/>
    <w:rsid w:val="0038395B"/>
    <w:rsid w:val="00386358"/>
    <w:rsid w:val="00386D71"/>
    <w:rsid w:val="003910C6"/>
    <w:rsid w:val="003942A8"/>
    <w:rsid w:val="003A5116"/>
    <w:rsid w:val="003C1C10"/>
    <w:rsid w:val="003C27C7"/>
    <w:rsid w:val="003C314E"/>
    <w:rsid w:val="003C4FA2"/>
    <w:rsid w:val="003D05E9"/>
    <w:rsid w:val="003D0E7D"/>
    <w:rsid w:val="003D2D8E"/>
    <w:rsid w:val="003E408C"/>
    <w:rsid w:val="003F1777"/>
    <w:rsid w:val="003F65E8"/>
    <w:rsid w:val="003F7334"/>
    <w:rsid w:val="00407C12"/>
    <w:rsid w:val="004166B9"/>
    <w:rsid w:val="00423931"/>
    <w:rsid w:val="004254CD"/>
    <w:rsid w:val="00426F1F"/>
    <w:rsid w:val="00427C11"/>
    <w:rsid w:val="004340AD"/>
    <w:rsid w:val="004355B2"/>
    <w:rsid w:val="00440D6F"/>
    <w:rsid w:val="00441C85"/>
    <w:rsid w:val="0044290E"/>
    <w:rsid w:val="0044676E"/>
    <w:rsid w:val="004500DF"/>
    <w:rsid w:val="00450AA0"/>
    <w:rsid w:val="00453E38"/>
    <w:rsid w:val="004679D5"/>
    <w:rsid w:val="0047037D"/>
    <w:rsid w:val="00470A9D"/>
    <w:rsid w:val="00482565"/>
    <w:rsid w:val="004845C6"/>
    <w:rsid w:val="00486AD0"/>
    <w:rsid w:val="00486D5A"/>
    <w:rsid w:val="00491168"/>
    <w:rsid w:val="00492F3C"/>
    <w:rsid w:val="004A6CF8"/>
    <w:rsid w:val="004B58C7"/>
    <w:rsid w:val="004B7120"/>
    <w:rsid w:val="004C3B2F"/>
    <w:rsid w:val="004C4BEA"/>
    <w:rsid w:val="004C6469"/>
    <w:rsid w:val="004C7F66"/>
    <w:rsid w:val="004D4776"/>
    <w:rsid w:val="004D5D74"/>
    <w:rsid w:val="004D654C"/>
    <w:rsid w:val="004D715B"/>
    <w:rsid w:val="004D7B54"/>
    <w:rsid w:val="004E7274"/>
    <w:rsid w:val="004F0A95"/>
    <w:rsid w:val="004F4D03"/>
    <w:rsid w:val="004F50C0"/>
    <w:rsid w:val="004F73F3"/>
    <w:rsid w:val="004F7BAF"/>
    <w:rsid w:val="00510BE6"/>
    <w:rsid w:val="00534B77"/>
    <w:rsid w:val="00537567"/>
    <w:rsid w:val="00537EDA"/>
    <w:rsid w:val="00542315"/>
    <w:rsid w:val="005521DD"/>
    <w:rsid w:val="005534B2"/>
    <w:rsid w:val="00555307"/>
    <w:rsid w:val="005567E4"/>
    <w:rsid w:val="00560CE8"/>
    <w:rsid w:val="0056244B"/>
    <w:rsid w:val="00564D7F"/>
    <w:rsid w:val="00565990"/>
    <w:rsid w:val="00583148"/>
    <w:rsid w:val="00583D19"/>
    <w:rsid w:val="005939A4"/>
    <w:rsid w:val="00593BBE"/>
    <w:rsid w:val="005A061E"/>
    <w:rsid w:val="005A5424"/>
    <w:rsid w:val="005A7097"/>
    <w:rsid w:val="005B1351"/>
    <w:rsid w:val="005B34AA"/>
    <w:rsid w:val="005B54FA"/>
    <w:rsid w:val="005C0464"/>
    <w:rsid w:val="005C46C2"/>
    <w:rsid w:val="005D75D1"/>
    <w:rsid w:val="005F2161"/>
    <w:rsid w:val="005F4419"/>
    <w:rsid w:val="005F7C67"/>
    <w:rsid w:val="005F7FC7"/>
    <w:rsid w:val="006000A8"/>
    <w:rsid w:val="00600F38"/>
    <w:rsid w:val="006126F2"/>
    <w:rsid w:val="00617D08"/>
    <w:rsid w:val="00620116"/>
    <w:rsid w:val="006232C1"/>
    <w:rsid w:val="0064020F"/>
    <w:rsid w:val="00641146"/>
    <w:rsid w:val="00641A76"/>
    <w:rsid w:val="00641C46"/>
    <w:rsid w:val="00642905"/>
    <w:rsid w:val="00645B61"/>
    <w:rsid w:val="00645DD9"/>
    <w:rsid w:val="006518D0"/>
    <w:rsid w:val="00651C95"/>
    <w:rsid w:val="00654F4F"/>
    <w:rsid w:val="006571BA"/>
    <w:rsid w:val="006806F3"/>
    <w:rsid w:val="006872DF"/>
    <w:rsid w:val="006A099C"/>
    <w:rsid w:val="006A25C7"/>
    <w:rsid w:val="006A5AE8"/>
    <w:rsid w:val="006C07B7"/>
    <w:rsid w:val="006C1E19"/>
    <w:rsid w:val="006C4716"/>
    <w:rsid w:val="006D56F2"/>
    <w:rsid w:val="006D7C09"/>
    <w:rsid w:val="006E0D02"/>
    <w:rsid w:val="006E1DF2"/>
    <w:rsid w:val="006E20B4"/>
    <w:rsid w:val="006F2F25"/>
    <w:rsid w:val="006F578B"/>
    <w:rsid w:val="006F6459"/>
    <w:rsid w:val="00703216"/>
    <w:rsid w:val="007043F9"/>
    <w:rsid w:val="007064ED"/>
    <w:rsid w:val="00707040"/>
    <w:rsid w:val="007110D1"/>
    <w:rsid w:val="00724328"/>
    <w:rsid w:val="00724AF6"/>
    <w:rsid w:val="00730666"/>
    <w:rsid w:val="0073143E"/>
    <w:rsid w:val="0073358B"/>
    <w:rsid w:val="00735DD8"/>
    <w:rsid w:val="00740D50"/>
    <w:rsid w:val="00743534"/>
    <w:rsid w:val="00747175"/>
    <w:rsid w:val="0075154B"/>
    <w:rsid w:val="00752BCB"/>
    <w:rsid w:val="0076503B"/>
    <w:rsid w:val="007753BA"/>
    <w:rsid w:val="00775472"/>
    <w:rsid w:val="00783882"/>
    <w:rsid w:val="00790F7E"/>
    <w:rsid w:val="00795BDD"/>
    <w:rsid w:val="0079626E"/>
    <w:rsid w:val="007A7535"/>
    <w:rsid w:val="007C0B89"/>
    <w:rsid w:val="007C18F7"/>
    <w:rsid w:val="007C3153"/>
    <w:rsid w:val="007C4298"/>
    <w:rsid w:val="007C47D0"/>
    <w:rsid w:val="007D5AA1"/>
    <w:rsid w:val="007E6D72"/>
    <w:rsid w:val="007E7B94"/>
    <w:rsid w:val="007E7FF2"/>
    <w:rsid w:val="007F0FAE"/>
    <w:rsid w:val="007F1023"/>
    <w:rsid w:val="007F4A38"/>
    <w:rsid w:val="00807997"/>
    <w:rsid w:val="00812512"/>
    <w:rsid w:val="0081276A"/>
    <w:rsid w:val="00822D66"/>
    <w:rsid w:val="00823042"/>
    <w:rsid w:val="008248BF"/>
    <w:rsid w:val="00825A95"/>
    <w:rsid w:val="00830D87"/>
    <w:rsid w:val="00833AE1"/>
    <w:rsid w:val="00845A12"/>
    <w:rsid w:val="008466E3"/>
    <w:rsid w:val="00846866"/>
    <w:rsid w:val="0085208A"/>
    <w:rsid w:val="00855414"/>
    <w:rsid w:val="00855F64"/>
    <w:rsid w:val="00867542"/>
    <w:rsid w:val="00871071"/>
    <w:rsid w:val="00874579"/>
    <w:rsid w:val="00876FBC"/>
    <w:rsid w:val="008777B1"/>
    <w:rsid w:val="00881D60"/>
    <w:rsid w:val="00887E7F"/>
    <w:rsid w:val="00891CF7"/>
    <w:rsid w:val="008937D3"/>
    <w:rsid w:val="00896AA1"/>
    <w:rsid w:val="008A1265"/>
    <w:rsid w:val="008A150C"/>
    <w:rsid w:val="008A36BA"/>
    <w:rsid w:val="008B05A1"/>
    <w:rsid w:val="008B7EB3"/>
    <w:rsid w:val="008C7E99"/>
    <w:rsid w:val="008D127D"/>
    <w:rsid w:val="008D1CBE"/>
    <w:rsid w:val="008E1D0A"/>
    <w:rsid w:val="008E362F"/>
    <w:rsid w:val="008E58F5"/>
    <w:rsid w:val="008F163B"/>
    <w:rsid w:val="008F4F7D"/>
    <w:rsid w:val="008F52BB"/>
    <w:rsid w:val="008F7A5E"/>
    <w:rsid w:val="00911008"/>
    <w:rsid w:val="00915014"/>
    <w:rsid w:val="0091610A"/>
    <w:rsid w:val="00921075"/>
    <w:rsid w:val="0092167B"/>
    <w:rsid w:val="0092686E"/>
    <w:rsid w:val="009268E6"/>
    <w:rsid w:val="00927BE3"/>
    <w:rsid w:val="0093035E"/>
    <w:rsid w:val="00932871"/>
    <w:rsid w:val="00933D5B"/>
    <w:rsid w:val="009364A3"/>
    <w:rsid w:val="00942BEB"/>
    <w:rsid w:val="00955754"/>
    <w:rsid w:val="00955BEB"/>
    <w:rsid w:val="00955D69"/>
    <w:rsid w:val="009667BA"/>
    <w:rsid w:val="00967555"/>
    <w:rsid w:val="00975CC1"/>
    <w:rsid w:val="009765FC"/>
    <w:rsid w:val="00987A49"/>
    <w:rsid w:val="00990FC3"/>
    <w:rsid w:val="00992417"/>
    <w:rsid w:val="00993575"/>
    <w:rsid w:val="00996867"/>
    <w:rsid w:val="00997ED6"/>
    <w:rsid w:val="009A746B"/>
    <w:rsid w:val="009B2C9A"/>
    <w:rsid w:val="009B2FE4"/>
    <w:rsid w:val="009B781B"/>
    <w:rsid w:val="009C7FF0"/>
    <w:rsid w:val="009D418C"/>
    <w:rsid w:val="009E0999"/>
    <w:rsid w:val="009E486B"/>
    <w:rsid w:val="009E6E16"/>
    <w:rsid w:val="009E74AE"/>
    <w:rsid w:val="009F5AC8"/>
    <w:rsid w:val="00A02E21"/>
    <w:rsid w:val="00A04CF3"/>
    <w:rsid w:val="00A05EB5"/>
    <w:rsid w:val="00A12866"/>
    <w:rsid w:val="00A13F88"/>
    <w:rsid w:val="00A256A3"/>
    <w:rsid w:val="00A3216F"/>
    <w:rsid w:val="00A33CCE"/>
    <w:rsid w:val="00A3752A"/>
    <w:rsid w:val="00A5275C"/>
    <w:rsid w:val="00A55200"/>
    <w:rsid w:val="00A645AD"/>
    <w:rsid w:val="00A65109"/>
    <w:rsid w:val="00A73235"/>
    <w:rsid w:val="00A75443"/>
    <w:rsid w:val="00A84B91"/>
    <w:rsid w:val="00A87F8F"/>
    <w:rsid w:val="00A90A59"/>
    <w:rsid w:val="00A917A6"/>
    <w:rsid w:val="00AA1C93"/>
    <w:rsid w:val="00AA1E0C"/>
    <w:rsid w:val="00AA2B19"/>
    <w:rsid w:val="00AA747D"/>
    <w:rsid w:val="00AB3C92"/>
    <w:rsid w:val="00AC2B78"/>
    <w:rsid w:val="00AC330D"/>
    <w:rsid w:val="00AD636F"/>
    <w:rsid w:val="00AD7D86"/>
    <w:rsid w:val="00AF1963"/>
    <w:rsid w:val="00AF2EB4"/>
    <w:rsid w:val="00AF36F1"/>
    <w:rsid w:val="00AF3D6C"/>
    <w:rsid w:val="00AF7D38"/>
    <w:rsid w:val="00B02F00"/>
    <w:rsid w:val="00B03279"/>
    <w:rsid w:val="00B12A54"/>
    <w:rsid w:val="00B149E7"/>
    <w:rsid w:val="00B1611F"/>
    <w:rsid w:val="00B24DEA"/>
    <w:rsid w:val="00B27FB1"/>
    <w:rsid w:val="00B335BA"/>
    <w:rsid w:val="00B36E7E"/>
    <w:rsid w:val="00B50BDF"/>
    <w:rsid w:val="00B52CAA"/>
    <w:rsid w:val="00B5391B"/>
    <w:rsid w:val="00B54BBD"/>
    <w:rsid w:val="00B61EB0"/>
    <w:rsid w:val="00B6628D"/>
    <w:rsid w:val="00B91AD0"/>
    <w:rsid w:val="00B92063"/>
    <w:rsid w:val="00B93294"/>
    <w:rsid w:val="00B9507D"/>
    <w:rsid w:val="00BA23CA"/>
    <w:rsid w:val="00BB09D6"/>
    <w:rsid w:val="00BC2E24"/>
    <w:rsid w:val="00BC7D94"/>
    <w:rsid w:val="00BD21D1"/>
    <w:rsid w:val="00BD48C9"/>
    <w:rsid w:val="00BD7EFB"/>
    <w:rsid w:val="00BE2116"/>
    <w:rsid w:val="00BF0808"/>
    <w:rsid w:val="00BF776A"/>
    <w:rsid w:val="00C0318B"/>
    <w:rsid w:val="00C065F2"/>
    <w:rsid w:val="00C176E5"/>
    <w:rsid w:val="00C2630D"/>
    <w:rsid w:val="00C33459"/>
    <w:rsid w:val="00C43CA1"/>
    <w:rsid w:val="00C46978"/>
    <w:rsid w:val="00C51E42"/>
    <w:rsid w:val="00C52A1D"/>
    <w:rsid w:val="00C547CB"/>
    <w:rsid w:val="00C57E72"/>
    <w:rsid w:val="00C74BC1"/>
    <w:rsid w:val="00C75336"/>
    <w:rsid w:val="00C76FA0"/>
    <w:rsid w:val="00C820DD"/>
    <w:rsid w:val="00C82591"/>
    <w:rsid w:val="00C8579D"/>
    <w:rsid w:val="00C90ED6"/>
    <w:rsid w:val="00C92FEE"/>
    <w:rsid w:val="00C943BE"/>
    <w:rsid w:val="00CA7D6B"/>
    <w:rsid w:val="00CB1BB3"/>
    <w:rsid w:val="00CB4057"/>
    <w:rsid w:val="00CB50F4"/>
    <w:rsid w:val="00CB5F1D"/>
    <w:rsid w:val="00CC6895"/>
    <w:rsid w:val="00CD1994"/>
    <w:rsid w:val="00CE159D"/>
    <w:rsid w:val="00CE290B"/>
    <w:rsid w:val="00CE5919"/>
    <w:rsid w:val="00CE74BD"/>
    <w:rsid w:val="00CF4355"/>
    <w:rsid w:val="00D00E5C"/>
    <w:rsid w:val="00D0195F"/>
    <w:rsid w:val="00D025AD"/>
    <w:rsid w:val="00D111FB"/>
    <w:rsid w:val="00D214EB"/>
    <w:rsid w:val="00D21B54"/>
    <w:rsid w:val="00D23048"/>
    <w:rsid w:val="00D30169"/>
    <w:rsid w:val="00D3076F"/>
    <w:rsid w:val="00D317A2"/>
    <w:rsid w:val="00D47664"/>
    <w:rsid w:val="00D47CFA"/>
    <w:rsid w:val="00D7218A"/>
    <w:rsid w:val="00D74582"/>
    <w:rsid w:val="00D90397"/>
    <w:rsid w:val="00D96E11"/>
    <w:rsid w:val="00D97FD0"/>
    <w:rsid w:val="00DA2FA7"/>
    <w:rsid w:val="00DA3AFA"/>
    <w:rsid w:val="00DA72B2"/>
    <w:rsid w:val="00DB0D5B"/>
    <w:rsid w:val="00DB2E67"/>
    <w:rsid w:val="00DB4083"/>
    <w:rsid w:val="00DB7D20"/>
    <w:rsid w:val="00DC466B"/>
    <w:rsid w:val="00DC51AB"/>
    <w:rsid w:val="00DC6E4D"/>
    <w:rsid w:val="00DC78B6"/>
    <w:rsid w:val="00DD2158"/>
    <w:rsid w:val="00DD409D"/>
    <w:rsid w:val="00DD4F77"/>
    <w:rsid w:val="00DE71EE"/>
    <w:rsid w:val="00DE7D29"/>
    <w:rsid w:val="00DE7E3C"/>
    <w:rsid w:val="00DF20B5"/>
    <w:rsid w:val="00DF2449"/>
    <w:rsid w:val="00DF3E61"/>
    <w:rsid w:val="00DF62A9"/>
    <w:rsid w:val="00DF703B"/>
    <w:rsid w:val="00E02607"/>
    <w:rsid w:val="00E11BF8"/>
    <w:rsid w:val="00E13DFE"/>
    <w:rsid w:val="00E15290"/>
    <w:rsid w:val="00E15755"/>
    <w:rsid w:val="00E20DA6"/>
    <w:rsid w:val="00E25B34"/>
    <w:rsid w:val="00E41FA1"/>
    <w:rsid w:val="00E46D19"/>
    <w:rsid w:val="00E5098B"/>
    <w:rsid w:val="00E548E0"/>
    <w:rsid w:val="00E55CA2"/>
    <w:rsid w:val="00E56C1A"/>
    <w:rsid w:val="00E60465"/>
    <w:rsid w:val="00E66221"/>
    <w:rsid w:val="00E707F7"/>
    <w:rsid w:val="00E721A5"/>
    <w:rsid w:val="00E759FA"/>
    <w:rsid w:val="00E825D8"/>
    <w:rsid w:val="00E8418C"/>
    <w:rsid w:val="00E844A6"/>
    <w:rsid w:val="00E86123"/>
    <w:rsid w:val="00EA00D9"/>
    <w:rsid w:val="00EB03D9"/>
    <w:rsid w:val="00EB0997"/>
    <w:rsid w:val="00EB15AD"/>
    <w:rsid w:val="00EB1808"/>
    <w:rsid w:val="00EB2088"/>
    <w:rsid w:val="00ED4B4A"/>
    <w:rsid w:val="00ED4B94"/>
    <w:rsid w:val="00ED77BF"/>
    <w:rsid w:val="00EE3B6A"/>
    <w:rsid w:val="00EF6550"/>
    <w:rsid w:val="00EF6743"/>
    <w:rsid w:val="00F05CDC"/>
    <w:rsid w:val="00F3349E"/>
    <w:rsid w:val="00F43062"/>
    <w:rsid w:val="00F4677B"/>
    <w:rsid w:val="00F479D4"/>
    <w:rsid w:val="00F506D5"/>
    <w:rsid w:val="00F531CC"/>
    <w:rsid w:val="00F602CE"/>
    <w:rsid w:val="00F61D1E"/>
    <w:rsid w:val="00F6668C"/>
    <w:rsid w:val="00F718F7"/>
    <w:rsid w:val="00F760B9"/>
    <w:rsid w:val="00F83CF4"/>
    <w:rsid w:val="00F92FA1"/>
    <w:rsid w:val="00FA100A"/>
    <w:rsid w:val="00FA20C6"/>
    <w:rsid w:val="00FA7163"/>
    <w:rsid w:val="00FB0F22"/>
    <w:rsid w:val="00FB2629"/>
    <w:rsid w:val="00FC0884"/>
    <w:rsid w:val="00FC7540"/>
    <w:rsid w:val="00FC779C"/>
    <w:rsid w:val="00FD4558"/>
    <w:rsid w:val="00FD5FC3"/>
    <w:rsid w:val="00FE786B"/>
    <w:rsid w:val="00FF00D9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9F86571-774E-4776-A5C1-90A969FE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ind w:right="-228"/>
      <w:jc w:val="both"/>
      <w:outlineLvl w:val="0"/>
    </w:pPr>
  </w:style>
  <w:style w:type="paragraph" w:styleId="2">
    <w:name w:val="heading 2"/>
    <w:basedOn w:val="a"/>
    <w:next w:val="a"/>
    <w:qFormat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1"/>
    <w:qFormat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pPr>
      <w:widowControl/>
      <w:suppressAutoHyphens w:val="0"/>
      <w:spacing w:before="240" w:after="60"/>
      <w:outlineLvl w:val="7"/>
    </w:pPr>
    <w:rPr>
      <w:rFonts w:eastAsia="Times New Roman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3">
    <w:name w:val="Основной шрифт абзаца13"/>
  </w:style>
  <w:style w:type="character" w:customStyle="1" w:styleId="WW-Absatz-Standardschriftart11111111">
    <w:name w:val="WW-Absatz-Standardschriftart11111111"/>
  </w:style>
  <w:style w:type="character" w:customStyle="1" w:styleId="12">
    <w:name w:val="Основной шрифт абзаца12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10">
    <w:name w:val="Основной шрифт абзаца1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8Num5z1">
    <w:name w:val="WW8Num5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ascii="Symbol" w:hAnsi="Symbol" w:cs="Times New Roman"/>
      <w:b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80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60">
    <w:name w:val="Основной шрифт абзаца6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50">
    <w:name w:val="Основной шрифт абзаца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40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a5">
    <w:name w:val="Символ нумерации"/>
  </w:style>
  <w:style w:type="character" w:customStyle="1" w:styleId="16">
    <w:name w:val="Основной шрифт абзаца1"/>
  </w:style>
  <w:style w:type="character" w:styleId="a6">
    <w:name w:val="Hyperlink"/>
    <w:semiHidden/>
    <w:rPr>
      <w:color w:val="0000FF"/>
      <w:u w:val="single"/>
    </w:rPr>
  </w:style>
  <w:style w:type="character" w:customStyle="1" w:styleId="a7">
    <w:name w:val="Символ сноски"/>
  </w:style>
  <w:style w:type="character" w:customStyle="1" w:styleId="17">
    <w:name w:val="Знак сноски1"/>
    <w:rPr>
      <w:vertAlign w:val="superscript"/>
    </w:rPr>
  </w:style>
  <w:style w:type="character" w:customStyle="1" w:styleId="a8">
    <w:name w:val="Символы концевой сноски"/>
  </w:style>
  <w:style w:type="character" w:customStyle="1" w:styleId="18">
    <w:name w:val="Знак концевой сноски1"/>
    <w:rPr>
      <w:vertAlign w:val="superscript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Не вступил в силу"/>
    <w:rPr>
      <w:rFonts w:cs="Times New Roman"/>
      <w:color w:val="008080"/>
      <w:sz w:val="20"/>
      <w:szCs w:val="20"/>
    </w:rPr>
  </w:style>
  <w:style w:type="character" w:customStyle="1" w:styleId="31">
    <w:name w:val="Основной текст с отступом 3 Знак"/>
    <w:rPr>
      <w:rFonts w:ascii="Calibri" w:hAnsi="Calibri"/>
      <w:kern w:val="1"/>
      <w:sz w:val="16"/>
      <w:szCs w:val="16"/>
      <w:lang w:val="ru-RU" w:eastAsia="ar-SA" w:bidi="ar-SA"/>
    </w:rPr>
  </w:style>
  <w:style w:type="character" w:customStyle="1" w:styleId="postbody">
    <w:name w:val="postbody"/>
    <w:basedOn w:val="16"/>
  </w:style>
  <w:style w:type="character" w:styleId="ab">
    <w:name w:val="page number"/>
    <w:basedOn w:val="20"/>
    <w:semiHidden/>
  </w:style>
  <w:style w:type="character" w:customStyle="1" w:styleId="81">
    <w:name w:val="Заголовок 8 Знак"/>
    <w:rPr>
      <w:i/>
      <w:iCs/>
      <w:sz w:val="24"/>
      <w:szCs w:val="24"/>
    </w:rPr>
  </w:style>
  <w:style w:type="character" w:customStyle="1" w:styleId="ac">
    <w:name w:val="Нижний колонтитул Знак"/>
    <w:uiPriority w:val="99"/>
    <w:rPr>
      <w:rFonts w:eastAsia="Lucida Sans Unicode"/>
      <w:kern w:val="1"/>
      <w:sz w:val="24"/>
      <w:szCs w:val="24"/>
    </w:rPr>
  </w:style>
  <w:style w:type="character" w:customStyle="1" w:styleId="ConsPlusNormal">
    <w:name w:val="ConsPlusNormal Знак"/>
    <w:rPr>
      <w:rFonts w:ascii="Arial" w:eastAsia="Arial" w:hAnsi="Arial" w:cs="Arial"/>
      <w:kern w:val="1"/>
    </w:rPr>
  </w:style>
  <w:style w:type="character" w:customStyle="1" w:styleId="21">
    <w:name w:val="Основной текст с отступом 2 Знак"/>
    <w:rPr>
      <w:rFonts w:eastAsia="Lucida Sans Unicode"/>
      <w:kern w:val="1"/>
      <w:sz w:val="24"/>
      <w:szCs w:val="24"/>
    </w:rPr>
  </w:style>
  <w:style w:type="character" w:customStyle="1" w:styleId="ad">
    <w:name w:val="Верхний колонтитул Знак"/>
    <w:rPr>
      <w:rFonts w:eastAsia="Lucida Sans Unicode"/>
      <w:kern w:val="1"/>
      <w:sz w:val="24"/>
      <w:szCs w:val="24"/>
    </w:rPr>
  </w:style>
  <w:style w:type="character" w:customStyle="1" w:styleId="22">
    <w:name w:val="Знак сноски2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32">
    <w:name w:val="Знак сноски3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52">
    <w:name w:val="Знак концевой сноски5"/>
    <w:rPr>
      <w:vertAlign w:val="superscript"/>
    </w:rPr>
  </w:style>
  <w:style w:type="character" w:styleId="ae">
    <w:name w:val="footnote reference"/>
    <w:semiHidden/>
    <w:rPr>
      <w:vertAlign w:val="superscript"/>
    </w:rPr>
  </w:style>
  <w:style w:type="character" w:styleId="af">
    <w:name w:val="endnote reference"/>
    <w:semiHidden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f0"/>
    <w:pPr>
      <w:spacing w:after="120"/>
    </w:pPr>
  </w:style>
  <w:style w:type="paragraph" w:styleId="af1">
    <w:name w:val="List"/>
    <w:basedOn w:val="a1"/>
    <w:semiHidden/>
    <w:rPr>
      <w:rFonts w:cs="Tahoma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Tahoma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Tahoma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Tahoma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Tahoma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Tahoma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82">
    <w:name w:val="Название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pPr>
      <w:suppressLineNumbers/>
    </w:pPr>
    <w:rPr>
      <w:rFonts w:cs="Tahoma"/>
    </w:rPr>
  </w:style>
  <w:style w:type="paragraph" w:customStyle="1" w:styleId="71">
    <w:name w:val="Название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72">
    <w:name w:val="Указатель7"/>
    <w:basedOn w:val="a"/>
    <w:pPr>
      <w:suppressLineNumbers/>
    </w:pPr>
    <w:rPr>
      <w:rFonts w:cs="Tahoma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2">
    <w:name w:val="Указатель6"/>
    <w:basedOn w:val="a"/>
    <w:pPr>
      <w:suppressLineNumbers/>
    </w:pPr>
    <w:rPr>
      <w:rFonts w:cs="Tahoma"/>
    </w:rPr>
  </w:style>
  <w:style w:type="paragraph" w:styleId="af2">
    <w:name w:val="Title"/>
    <w:basedOn w:val="a0"/>
    <w:next w:val="af3"/>
    <w:qFormat/>
  </w:style>
  <w:style w:type="paragraph" w:styleId="af3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53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4">
    <w:name w:val="Указатель5"/>
    <w:basedOn w:val="a"/>
    <w:pPr>
      <w:suppressLineNumbers/>
    </w:pPr>
    <w:rPr>
      <w:rFonts w:cs="Tahoma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pPr>
      <w:suppressLineNumbers/>
    </w:pPr>
    <w:rPr>
      <w:rFonts w:cs="Tahoma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5">
    <w:name w:val="Указатель3"/>
    <w:basedOn w:val="a"/>
    <w:pPr>
      <w:suppressLineNumbers/>
    </w:pPr>
    <w:rPr>
      <w:rFonts w:cs="Tahoma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Tahoma"/>
    </w:rPr>
  </w:style>
  <w:style w:type="paragraph" w:customStyle="1" w:styleId="19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a">
    <w:name w:val="Указатель1"/>
    <w:basedOn w:val="a"/>
    <w:pPr>
      <w:suppressLineNumbers/>
    </w:pPr>
    <w:rPr>
      <w:rFonts w:cs="Tahom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styleId="af5">
    <w:name w:val="Body Text Indent"/>
    <w:basedOn w:val="a"/>
    <w:semiHidden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paragraph" w:customStyle="1" w:styleId="af6">
    <w:name w:val="Заголовок таблицы"/>
    <w:basedOn w:val="af4"/>
    <w:pPr>
      <w:jc w:val="center"/>
    </w:pPr>
    <w:rPr>
      <w:b/>
      <w:bCs/>
    </w:rPr>
  </w:style>
  <w:style w:type="paragraph" w:customStyle="1" w:styleId="310">
    <w:name w:val="Основной текст 31"/>
    <w:basedOn w:val="a"/>
    <w:rPr>
      <w:sz w:val="28"/>
    </w:rPr>
  </w:style>
  <w:style w:type="paragraph" w:customStyle="1" w:styleId="220">
    <w:name w:val="Основной текст с отступом 22"/>
    <w:basedOn w:val="a"/>
    <w:pPr>
      <w:ind w:firstLine="720"/>
    </w:pPr>
    <w:rPr>
      <w:sz w:val="28"/>
    </w:rPr>
  </w:style>
  <w:style w:type="paragraph" w:customStyle="1" w:styleId="36">
    <w:name w:val="Стиль3 Знак Знак"/>
    <w:basedOn w:val="220"/>
    <w:pPr>
      <w:tabs>
        <w:tab w:val="left" w:pos="-14549"/>
      </w:tabs>
      <w:spacing w:line="100" w:lineRule="atLeast"/>
      <w:ind w:left="360" w:firstLine="0"/>
      <w:jc w:val="both"/>
    </w:pPr>
    <w:rPr>
      <w:sz w:val="24"/>
      <w:szCs w:val="20"/>
    </w:rPr>
  </w:style>
  <w:style w:type="paragraph" w:styleId="af7">
    <w:name w:val="header"/>
    <w:basedOn w:val="a"/>
    <w:semiHidden/>
    <w:pPr>
      <w:suppressLineNumbers/>
      <w:tabs>
        <w:tab w:val="center" w:pos="4818"/>
        <w:tab w:val="right" w:pos="9637"/>
      </w:tabs>
    </w:pPr>
  </w:style>
  <w:style w:type="paragraph" w:customStyle="1" w:styleId="af8">
    <w:name w:val="Подраздел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/>
      <w:b/>
      <w:smallCaps/>
      <w:spacing w:val="-2"/>
      <w:kern w:val="1"/>
      <w:sz w:val="24"/>
      <w:lang w:eastAsia="ar-SA"/>
    </w:rPr>
  </w:style>
  <w:style w:type="paragraph" w:customStyle="1" w:styleId="210">
    <w:name w:val="Основной текст 21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9">
    <w:name w:val="Normal (Web)"/>
    <w:uiPriority w:val="99"/>
    <w:pPr>
      <w:widowControl w:val="0"/>
      <w:suppressAutoHyphens/>
      <w:spacing w:after="200" w:line="276" w:lineRule="auto"/>
    </w:pPr>
    <w:rPr>
      <w:rFonts w:ascii="Calibri" w:eastAsia="DejaVu Sans" w:hAnsi="Calibri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pPr>
      <w:widowControl w:val="0"/>
      <w:suppressAutoHyphens/>
      <w:spacing w:after="120" w:line="480" w:lineRule="auto"/>
      <w:ind w:left="283"/>
    </w:pPr>
    <w:rPr>
      <w:rFonts w:ascii="Calibri" w:eastAsia="DejaVu Sans" w:hAnsi="Calibri"/>
      <w:kern w:val="1"/>
      <w:sz w:val="22"/>
      <w:szCs w:val="22"/>
      <w:lang w:eastAsia="ar-SA"/>
    </w:rPr>
  </w:style>
  <w:style w:type="paragraph" w:customStyle="1" w:styleId="26">
    <w:name w:val="Стиль2"/>
    <w:basedOn w:val="a"/>
    <w:pPr>
      <w:keepNext/>
      <w:keepLines/>
      <w:suppressLineNumbers/>
      <w:tabs>
        <w:tab w:val="left" w:pos="17984"/>
      </w:tabs>
      <w:spacing w:before="120" w:line="100" w:lineRule="atLeast"/>
      <w:ind w:left="576" w:hanging="576"/>
      <w:jc w:val="both"/>
    </w:pPr>
    <w:rPr>
      <w:b/>
      <w:szCs w:val="20"/>
    </w:rPr>
  </w:style>
  <w:style w:type="paragraph" w:styleId="afa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b">
    <w:name w:val="Знак"/>
    <w:basedOn w:val="a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Содержимое врезки"/>
    <w:basedOn w:val="a1"/>
  </w:style>
  <w:style w:type="paragraph" w:customStyle="1" w:styleId="1b">
    <w:name w:val="Обычный1"/>
    <w:pPr>
      <w:widowControl w:val="0"/>
      <w:tabs>
        <w:tab w:val="left" w:pos="720"/>
      </w:tabs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f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e">
    <w:name w:val="Знак"/>
    <w:basedOn w:val="a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21">
    <w:name w:val="Основной текст 22"/>
    <w:basedOn w:val="a"/>
    <w:pPr>
      <w:ind w:right="327"/>
      <w:jc w:val="both"/>
    </w:pPr>
    <w:rPr>
      <w:sz w:val="28"/>
    </w:rPr>
  </w:style>
  <w:style w:type="paragraph" w:customStyle="1" w:styleId="311">
    <w:name w:val="Основной текст с отступом 31"/>
    <w:basedOn w:val="a"/>
    <w:pPr>
      <w:autoSpaceDE w:val="0"/>
      <w:ind w:right="142" w:firstLine="284"/>
      <w:jc w:val="both"/>
    </w:pPr>
  </w:style>
  <w:style w:type="paragraph" w:customStyle="1" w:styleId="320">
    <w:name w:val="Основной текст 32"/>
    <w:basedOn w:val="a"/>
    <w:rPr>
      <w:sz w:val="28"/>
    </w:rPr>
  </w:style>
  <w:style w:type="paragraph" w:customStyle="1" w:styleId="1c">
    <w:name w:val="Цитата1"/>
    <w:basedOn w:val="a"/>
    <w:pPr>
      <w:ind w:left="360" w:right="327"/>
      <w:jc w:val="both"/>
    </w:pPr>
    <w:rPr>
      <w:sz w:val="28"/>
    </w:rPr>
  </w:style>
  <w:style w:type="paragraph" w:customStyle="1" w:styleId="1d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01zagolovok">
    <w:name w:val="01_zagolovok"/>
    <w:basedOn w:val="a"/>
    <w:pPr>
      <w:keepNext/>
      <w:pageBreakBefore/>
      <w:spacing w:before="360" w:after="120"/>
    </w:pPr>
    <w:rPr>
      <w:rFonts w:ascii="GaramondC" w:eastAsia="Times New Roman" w:hAnsi="GaramondC"/>
      <w:b/>
      <w:color w:val="000000"/>
      <w:sz w:val="40"/>
      <w:szCs w:val="62"/>
    </w:rPr>
  </w:style>
  <w:style w:type="paragraph" w:customStyle="1" w:styleId="03zagolovok2">
    <w:name w:val="03zagolovok2"/>
    <w:basedOn w:val="a"/>
    <w:pPr>
      <w:keepNext/>
      <w:spacing w:before="360" w:after="120" w:line="360" w:lineRule="atLeast"/>
    </w:pPr>
    <w:rPr>
      <w:rFonts w:ascii="GaramondC" w:eastAsia="Times New Roman" w:hAnsi="GaramondC"/>
      <w:b/>
      <w:color w:val="000000"/>
    </w:rPr>
  </w:style>
  <w:style w:type="paragraph" w:customStyle="1" w:styleId="02statia1">
    <w:name w:val="02statia1"/>
    <w:basedOn w:val="a"/>
    <w:pPr>
      <w:keepNext/>
      <w:spacing w:before="280" w:line="320" w:lineRule="atLeast"/>
      <w:ind w:left="1134" w:right="851" w:hanging="578"/>
    </w:pPr>
    <w:rPr>
      <w:rFonts w:ascii="GaramondNarrowC" w:eastAsia="Times New Roman" w:hAnsi="GaramondNarrowC"/>
      <w:b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02statia3">
    <w:name w:val="02statia3"/>
    <w:basedOn w:val="a"/>
    <w:pPr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rFonts w:eastAsia="Times New Roman"/>
      <w:szCs w:val="20"/>
    </w:rPr>
  </w:style>
  <w:style w:type="paragraph" w:customStyle="1" w:styleId="230">
    <w:name w:val="Основной текст с отступом 23"/>
    <w:basedOn w:val="a"/>
    <w:pPr>
      <w:spacing w:after="120" w:line="480" w:lineRule="auto"/>
      <w:ind w:left="283"/>
    </w:pPr>
  </w:style>
  <w:style w:type="paragraph" w:customStyle="1" w:styleId="37">
    <w:name w:val="Стиль3"/>
    <w:basedOn w:val="230"/>
    <w:pPr>
      <w:tabs>
        <w:tab w:val="left" w:pos="17851"/>
      </w:tabs>
      <w:suppressAutoHyphens w:val="0"/>
      <w:spacing w:after="0" w:line="240" w:lineRule="auto"/>
      <w:ind w:left="1080"/>
      <w:jc w:val="both"/>
      <w:textAlignment w:val="baseline"/>
    </w:pPr>
    <w:rPr>
      <w:rFonts w:eastAsia="Times New Roman"/>
      <w:szCs w:val="20"/>
    </w:rPr>
  </w:style>
  <w:style w:type="paragraph" w:customStyle="1" w:styleId="aff">
    <w:name w:val="Цитаты"/>
    <w:basedOn w:val="a"/>
    <w:pPr>
      <w:suppressAutoHyphens w:val="0"/>
      <w:spacing w:before="100" w:after="100"/>
      <w:ind w:left="360" w:right="360"/>
    </w:pPr>
    <w:rPr>
      <w:rFonts w:eastAsia="Times New Roman"/>
      <w:szCs w:val="20"/>
    </w:rPr>
  </w:style>
  <w:style w:type="paragraph" w:customStyle="1" w:styleId="-">
    <w:name w:val="Контракт-пункт"/>
    <w:basedOn w:val="a"/>
    <w:pPr>
      <w:widowControl/>
      <w:jc w:val="both"/>
    </w:pPr>
    <w:rPr>
      <w:rFonts w:eastAsia="Times New Roman"/>
      <w:sz w:val="28"/>
      <w:szCs w:val="28"/>
    </w:rPr>
  </w:style>
  <w:style w:type="paragraph" w:customStyle="1" w:styleId="Web">
    <w:name w:val="Обычный (Web)"/>
    <w:basedOn w:val="a"/>
    <w:pPr>
      <w:widowControl/>
      <w:spacing w:before="280" w:after="280"/>
    </w:pPr>
    <w:rPr>
      <w:rFonts w:eastAsia="Times New Roman"/>
      <w:sz w:val="28"/>
      <w:szCs w:val="28"/>
    </w:rPr>
  </w:style>
  <w:style w:type="paragraph" w:customStyle="1" w:styleId="112">
    <w:name w:val="заголовок 11"/>
    <w:basedOn w:val="a"/>
    <w:next w:val="a"/>
    <w:pPr>
      <w:keepNext/>
      <w:widowControl/>
      <w:jc w:val="center"/>
    </w:pPr>
    <w:rPr>
      <w:rFonts w:eastAsia="Times New Roman"/>
      <w:sz w:val="28"/>
      <w:szCs w:val="20"/>
    </w:rPr>
  </w:style>
  <w:style w:type="paragraph" w:customStyle="1" w:styleId="aff0">
    <w:name w:val="альбом"/>
    <w:basedOn w:val="a"/>
  </w:style>
  <w:style w:type="paragraph" w:customStyle="1" w:styleId="Default">
    <w:name w:val="Default"/>
    <w:basedOn w:val="a"/>
    <w:pPr>
      <w:autoSpaceDE w:val="0"/>
    </w:pPr>
    <w:rPr>
      <w:rFonts w:eastAsia="Times New Roman"/>
      <w:color w:val="000000"/>
    </w:rPr>
  </w:style>
  <w:style w:type="paragraph" w:styleId="aff1">
    <w:name w:val="footnote text"/>
    <w:basedOn w:val="a"/>
    <w:semiHidden/>
    <w:pPr>
      <w:suppressLineNumbers/>
      <w:ind w:left="283" w:hanging="283"/>
    </w:pPr>
    <w:rPr>
      <w:sz w:val="20"/>
      <w:szCs w:val="20"/>
    </w:rPr>
  </w:style>
  <w:style w:type="paragraph" w:customStyle="1" w:styleId="231">
    <w:name w:val="Основной текст 23"/>
    <w:basedOn w:val="a"/>
    <w:pPr>
      <w:ind w:right="43"/>
    </w:pPr>
    <w:rPr>
      <w:sz w:val="20"/>
      <w:szCs w:val="20"/>
    </w:rPr>
  </w:style>
  <w:style w:type="table" w:styleId="aff2">
    <w:name w:val="Table Grid"/>
    <w:basedOn w:val="a3"/>
    <w:uiPriority w:val="39"/>
    <w:rsid w:val="00C82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List Paragraph"/>
    <w:basedOn w:val="a"/>
    <w:uiPriority w:val="34"/>
    <w:qFormat/>
    <w:rsid w:val="00386D71"/>
    <w:pPr>
      <w:ind w:left="720"/>
      <w:contextualSpacing/>
    </w:pPr>
  </w:style>
  <w:style w:type="character" w:customStyle="1" w:styleId="af0">
    <w:name w:val="Основной текст Знак"/>
    <w:link w:val="a1"/>
    <w:rsid w:val="003D0E7D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E7F7-FFAA-4B78-A7C2-11BB169E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— Пермское региональное отделение Фонда социального страхования Российской Федерации</vt:lpstr>
    </vt:vector>
  </TitlesOfParts>
  <Company>FSS</Company>
  <LinksUpToDate>false</LinksUpToDate>
  <CharactersWithSpaces>14516</CharactersWithSpaces>
  <SharedDoc>false</SharedDoc>
  <HLinks>
    <vt:vector size="192" baseType="variant">
      <vt:variant>
        <vt:i4>1048697</vt:i4>
      </vt:variant>
      <vt:variant>
        <vt:i4>93</vt:i4>
      </vt:variant>
      <vt:variant>
        <vt:i4>0</vt:i4>
      </vt:variant>
      <vt:variant>
        <vt:i4>5</vt:i4>
      </vt:variant>
      <vt:variant>
        <vt:lpwstr>mailto:info@ro35.fss.ru</vt:lpwstr>
      </vt:variant>
      <vt:variant>
        <vt:lpwstr/>
      </vt:variant>
      <vt:variant>
        <vt:i4>3407917</vt:i4>
      </vt:variant>
      <vt:variant>
        <vt:i4>90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7274549</vt:i4>
      </vt:variant>
      <vt:variant>
        <vt:i4>87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4194304</vt:i4>
      </vt:variant>
      <vt:variant>
        <vt:i4>84</vt:i4>
      </vt:variant>
      <vt:variant>
        <vt:i4>0</vt:i4>
      </vt:variant>
      <vt:variant>
        <vt:i4>5</vt:i4>
      </vt:variant>
      <vt:variant>
        <vt:lpwstr>garantf1://70402258.2000/</vt:lpwstr>
      </vt:variant>
      <vt:variant>
        <vt:lpwstr/>
      </vt:variant>
      <vt:variant>
        <vt:i4>8060989</vt:i4>
      </vt:variant>
      <vt:variant>
        <vt:i4>81</vt:i4>
      </vt:variant>
      <vt:variant>
        <vt:i4>0</vt:i4>
      </vt:variant>
      <vt:variant>
        <vt:i4>5</vt:i4>
      </vt:variant>
      <vt:variant>
        <vt:lpwstr>garantf1://10800200.176100/</vt:lpwstr>
      </vt:variant>
      <vt:variant>
        <vt:lpwstr/>
      </vt:variant>
      <vt:variant>
        <vt:i4>2031653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sub_45</vt:lpwstr>
      </vt:variant>
      <vt:variant>
        <vt:i4>3080215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sub_7015</vt:lpwstr>
      </vt:variant>
      <vt:variant>
        <vt:i4>2818073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sub_93125</vt:lpwstr>
      </vt:variant>
      <vt:variant>
        <vt:i4>2818073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sub_93125</vt:lpwstr>
      </vt:variant>
      <vt:variant>
        <vt:i4>2818073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sub_93125</vt:lpwstr>
      </vt:variant>
      <vt:variant>
        <vt:i4>2818073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sub_93125</vt:lpwstr>
      </vt:variant>
      <vt:variant>
        <vt:i4>2162709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sub_6823</vt:lpwstr>
      </vt:variant>
      <vt:variant>
        <vt:i4>1900578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7471159</vt:i4>
      </vt:variant>
      <vt:variant>
        <vt:i4>54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51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1703974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sub_705</vt:lpwstr>
      </vt:variant>
      <vt:variant>
        <vt:i4>7471159</vt:i4>
      </vt:variant>
      <vt:variant>
        <vt:i4>45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42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2162709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sub_6823</vt:lpwstr>
      </vt:variant>
      <vt:variant>
        <vt:i4>1769506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2097173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sub_6228</vt:lpwstr>
      </vt:variant>
      <vt:variant>
        <vt:i4>3080213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sub_6227</vt:lpwstr>
      </vt:variant>
      <vt:variant>
        <vt:i4>2818069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sub_6223</vt:lpwstr>
      </vt:variant>
      <vt:variant>
        <vt:i4>2686997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sub_6221</vt:lpwstr>
      </vt:variant>
      <vt:variant>
        <vt:i4>2621459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sub_3113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sub_3120</vt:lpwstr>
      </vt:variant>
      <vt:variant>
        <vt:i4>2686995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sub_3112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sub_3111</vt:lpwstr>
      </vt:variant>
      <vt:variant>
        <vt:i4>4063291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consultantplus://offline/ref=00C75B4F5CE74A521DE56EF39689F2549D7067AA3187CFFFEEB9F0AA342A583425ACB4465C2DXAC2F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1048697</vt:i4>
      </vt:variant>
      <vt:variant>
        <vt:i4>3</vt:i4>
      </vt:variant>
      <vt:variant>
        <vt:i4>0</vt:i4>
      </vt:variant>
      <vt:variant>
        <vt:i4>5</vt:i4>
      </vt:variant>
      <vt:variant>
        <vt:lpwstr>mailto:info@ro35.fss.ru</vt:lpwstr>
      </vt:variant>
      <vt:variant>
        <vt:lpwstr/>
      </vt:variant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— Пермское региональное отделение Фонда социального страхования Российской Федерации</dc:title>
  <dc:subject/>
  <dc:creator>us90_06</dc:creator>
  <cp:keywords/>
  <cp:lastModifiedBy>Инкогнито</cp:lastModifiedBy>
  <cp:revision>13</cp:revision>
  <cp:lastPrinted>2017-12-15T08:59:00Z</cp:lastPrinted>
  <dcterms:created xsi:type="dcterms:W3CDTF">2018-12-11T08:54:00Z</dcterms:created>
  <dcterms:modified xsi:type="dcterms:W3CDTF">2018-12-11T10:28:00Z</dcterms:modified>
</cp:coreProperties>
</file>