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9B" w:rsidRDefault="001F179B" w:rsidP="001F179B">
      <w:pPr>
        <w:pStyle w:val="a4"/>
        <w:pageBreakBefore/>
        <w:suppressAutoHyphens w:val="0"/>
        <w:snapToGrid w:val="0"/>
        <w:spacing w:line="360" w:lineRule="auto"/>
        <w:jc w:val="center"/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Техническое задание</w:t>
      </w:r>
    </w:p>
    <w:p w:rsidR="001F179B" w:rsidRDefault="001F179B" w:rsidP="001F179B">
      <w:pPr>
        <w:shd w:val="clear" w:color="auto" w:fill="FFFFFF"/>
        <w:spacing w:after="120"/>
        <w:ind w:firstLine="8"/>
        <w:jc w:val="center"/>
        <w:rPr>
          <w:color w:val="000000"/>
          <w:sz w:val="28"/>
          <w:szCs w:val="28"/>
        </w:rPr>
      </w:pPr>
      <w:r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Оказание в 2019 году услуг по информационному обслуживанию установленных в Государственном учреждении – региональном отделении Фонда социального страхования Российской Федерации по Республике Татарстан и его филиалах справочно-правовых систем семейства «</w:t>
      </w:r>
      <w:proofErr w:type="spellStart"/>
      <w:r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КонсультантПлюс</w:t>
      </w:r>
      <w:proofErr w:type="spellEnd"/>
      <w:r>
        <w:rPr>
          <w:rFonts w:eastAsia="Courier New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F179B" w:rsidRDefault="001F179B" w:rsidP="001F179B">
      <w:pPr>
        <w:autoSpaceDE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для Государственного учреждения – регионального отделения Фонда социального страхования РФ по РТ и его филиалов в составе: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аппарата регионального отделения: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«Консультант Бюджетные организации: Версия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spellEnd"/>
      <w:proofErr w:type="gramEnd"/>
      <w:r>
        <w:rPr>
          <w:color w:val="000000"/>
          <w:sz w:val="28"/>
          <w:szCs w:val="28"/>
        </w:rPr>
        <w:t xml:space="preserve">» - сетевая версия на 50 ОД (одновременных доступов),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.:</w:t>
      </w:r>
    </w:p>
    <w:p w:rsidR="001F179B" w:rsidRDefault="001F179B" w:rsidP="001F179B">
      <w:pPr>
        <w:autoSpaceDE w:val="0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- </w:t>
      </w:r>
      <w:proofErr w:type="spellStart"/>
      <w:r>
        <w:rPr>
          <w:color w:val="000000"/>
          <w:sz w:val="26"/>
          <w:szCs w:val="26"/>
        </w:rPr>
        <w:t>КонсультантПлюс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ВерсияПроф</w:t>
      </w:r>
      <w:proofErr w:type="spellEnd"/>
      <w:r>
        <w:rPr>
          <w:color w:val="000000"/>
          <w:sz w:val="26"/>
          <w:szCs w:val="26"/>
        </w:rPr>
        <w:t>;</w:t>
      </w:r>
    </w:p>
    <w:p w:rsidR="001F179B" w:rsidRDefault="001F179B" w:rsidP="001F179B">
      <w:pPr>
        <w:autoSpaceDE w:val="0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proofErr w:type="spellStart"/>
      <w:r>
        <w:rPr>
          <w:color w:val="000000"/>
          <w:sz w:val="26"/>
          <w:szCs w:val="26"/>
        </w:rPr>
        <w:t>КонсультантСудебнаяПрактика</w:t>
      </w:r>
      <w:proofErr w:type="spellEnd"/>
      <w:r>
        <w:rPr>
          <w:color w:val="000000"/>
          <w:sz w:val="26"/>
          <w:szCs w:val="26"/>
        </w:rPr>
        <w:t>: Решения высших судов;</w:t>
      </w:r>
    </w:p>
    <w:p w:rsidR="001F179B" w:rsidRDefault="001F179B" w:rsidP="001F179B">
      <w:pPr>
        <w:autoSpaceDE w:val="0"/>
        <w:ind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proofErr w:type="spellStart"/>
      <w:r>
        <w:rPr>
          <w:color w:val="000000"/>
          <w:sz w:val="26"/>
          <w:szCs w:val="26"/>
        </w:rPr>
        <w:t>КонсультантПлюс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gramStart"/>
      <w:r>
        <w:rPr>
          <w:color w:val="000000"/>
          <w:sz w:val="26"/>
          <w:szCs w:val="26"/>
        </w:rPr>
        <w:t>Комментарии законодательства</w:t>
      </w:r>
      <w:proofErr w:type="gramEnd"/>
      <w:r>
        <w:rPr>
          <w:color w:val="000000"/>
          <w:sz w:val="26"/>
          <w:szCs w:val="26"/>
        </w:rPr>
        <w:t>;</w:t>
      </w:r>
    </w:p>
    <w:p w:rsidR="001F179B" w:rsidRDefault="001F179B" w:rsidP="001F179B">
      <w:pPr>
        <w:autoSpaceDE w:val="0"/>
        <w:ind w:firstLine="9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- </w:t>
      </w:r>
      <w:proofErr w:type="spellStart"/>
      <w:r>
        <w:rPr>
          <w:color w:val="000000"/>
          <w:sz w:val="26"/>
          <w:szCs w:val="26"/>
        </w:rPr>
        <w:t>КонсультантБухгалтер</w:t>
      </w:r>
      <w:proofErr w:type="spellEnd"/>
      <w:r>
        <w:rPr>
          <w:color w:val="000000"/>
          <w:sz w:val="26"/>
          <w:szCs w:val="26"/>
        </w:rPr>
        <w:t>: Вопросы-ответы;</w:t>
      </w:r>
    </w:p>
    <w:p w:rsidR="001F179B" w:rsidRDefault="001F179B" w:rsidP="001F179B">
      <w:pPr>
        <w:autoSpaceDE w:val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КонсультантПлюс</w:t>
      </w:r>
      <w:proofErr w:type="spellEnd"/>
      <w:r>
        <w:rPr>
          <w:color w:val="000000"/>
          <w:sz w:val="26"/>
          <w:szCs w:val="26"/>
        </w:rPr>
        <w:t>: Консультации для бюджетных организаций;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: Выпуск Татарстан» – сетевая версия на 50 ОД;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«Деловые Бумаги» – сетевая однопользовательская версия;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КонсультантАрбитраж</w:t>
      </w:r>
      <w:proofErr w:type="spellEnd"/>
      <w:r>
        <w:rPr>
          <w:color w:val="000000"/>
          <w:sz w:val="28"/>
          <w:szCs w:val="28"/>
        </w:rPr>
        <w:t>: Арбитражные суды  всех округов» – сетевая версия на 50 ОД;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: Практика антимонопольной службы» -  сетевая версия на 50 ОД;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«Ответственность и риски нарушения часто применяемых норм» -  сетевая версия на 50 ОД.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филиалов: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КонсультантЮрист</w:t>
      </w:r>
      <w:proofErr w:type="spellEnd"/>
      <w:r>
        <w:rPr>
          <w:color w:val="000000"/>
          <w:sz w:val="28"/>
          <w:szCs w:val="28"/>
        </w:rPr>
        <w:t xml:space="preserve">: Версия </w:t>
      </w:r>
      <w:proofErr w:type="spellStart"/>
      <w:proofErr w:type="gramStart"/>
      <w:r>
        <w:rPr>
          <w:color w:val="000000"/>
          <w:sz w:val="28"/>
          <w:szCs w:val="28"/>
        </w:rPr>
        <w:t>Проф</w:t>
      </w:r>
      <w:proofErr w:type="spellEnd"/>
      <w:proofErr w:type="gramEnd"/>
      <w:r>
        <w:rPr>
          <w:color w:val="000000"/>
          <w:sz w:val="28"/>
          <w:szCs w:val="28"/>
        </w:rPr>
        <w:t xml:space="preserve">» - сетевая версия на 50 ОД,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.:</w:t>
      </w:r>
    </w:p>
    <w:p w:rsidR="001F179B" w:rsidRDefault="001F179B" w:rsidP="001F179B">
      <w:pPr>
        <w:autoSpaceDE w:val="0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КонсультантПлюс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spellStart"/>
      <w:r>
        <w:rPr>
          <w:color w:val="000000"/>
          <w:sz w:val="26"/>
          <w:szCs w:val="26"/>
        </w:rPr>
        <w:t>ВерсияПроф</w:t>
      </w:r>
      <w:proofErr w:type="spellEnd"/>
      <w:r>
        <w:rPr>
          <w:color w:val="000000"/>
          <w:sz w:val="26"/>
          <w:szCs w:val="26"/>
        </w:rPr>
        <w:t>;</w:t>
      </w:r>
    </w:p>
    <w:p w:rsidR="001F179B" w:rsidRDefault="001F179B" w:rsidP="001F179B">
      <w:pPr>
        <w:autoSpaceDE w:val="0"/>
        <w:ind w:firstLine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КонсультантСудебнаяПрактика</w:t>
      </w:r>
      <w:proofErr w:type="spellEnd"/>
      <w:r>
        <w:rPr>
          <w:color w:val="000000"/>
          <w:sz w:val="26"/>
          <w:szCs w:val="26"/>
        </w:rPr>
        <w:t>: Решения высших судов;</w:t>
      </w:r>
    </w:p>
    <w:p w:rsidR="001F179B" w:rsidRDefault="001F179B" w:rsidP="001F179B">
      <w:pPr>
        <w:autoSpaceDE w:val="0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КонсультантПлюс</w:t>
      </w:r>
      <w:proofErr w:type="spellEnd"/>
      <w:r>
        <w:rPr>
          <w:color w:val="000000"/>
          <w:sz w:val="26"/>
          <w:szCs w:val="26"/>
        </w:rPr>
        <w:t xml:space="preserve">: </w:t>
      </w:r>
      <w:proofErr w:type="gramStart"/>
      <w:r>
        <w:rPr>
          <w:color w:val="000000"/>
          <w:sz w:val="26"/>
          <w:szCs w:val="26"/>
        </w:rPr>
        <w:t>Комментарии законодательства</w:t>
      </w:r>
      <w:proofErr w:type="gramEnd"/>
      <w:r>
        <w:rPr>
          <w:color w:val="000000"/>
          <w:sz w:val="26"/>
          <w:szCs w:val="26"/>
        </w:rPr>
        <w:t>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КонсультантБухгалтер</w:t>
      </w:r>
      <w:proofErr w:type="spellEnd"/>
      <w:r>
        <w:rPr>
          <w:color w:val="000000"/>
          <w:sz w:val="28"/>
          <w:szCs w:val="28"/>
        </w:rPr>
        <w:t>: Вопросы-ответы» – сетевая однопользовательская версия;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«Деловые Бумаги» – сетевая однопользовательская версия;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: Консультации для бюджетных организаций» - сетевая  многопользовательская версия.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требования к поставляемой Системе: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Поиск с использованием распространенных сокращений, аббревиатур и слов (фраз) в любом порядке, любой грамматической форме и любой сложности.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Наличие полной ретроспективы редакций документов с возможностью их сравнения.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Возможность формирования собственного информационного массива с любым сочетанием локальных и сетевых версий.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Наличие мониторинга новых и измененных документов.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Наличие специальных аналитических материалов «Путеводителей» 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Сетевая версия системы должна поддерживать файл-серверную технологию.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 Возможность ежедневного обновления путем интегрирования файлов (</w:t>
      </w:r>
      <w:proofErr w:type="spellStart"/>
      <w:r>
        <w:rPr>
          <w:color w:val="000000"/>
          <w:sz w:val="28"/>
          <w:szCs w:val="28"/>
        </w:rPr>
        <w:t>кусочное</w:t>
      </w:r>
      <w:proofErr w:type="spellEnd"/>
      <w:r>
        <w:rPr>
          <w:color w:val="000000"/>
          <w:sz w:val="28"/>
          <w:szCs w:val="28"/>
        </w:rPr>
        <w:t xml:space="preserve"> пополнение) экземпляров справочно-правовых систем с полной юридической обработкой включенных документов.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Использование для рубрикации федеральных нормативно-правовых актов тематического рубрикатора, основанного на классификаторе правовых актов, одобренного Указом Президента РФ от 15.03.2000 № 511 «О классификаторе правовых актов».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Наличие специальных карточек реквизитов, адаптированных для поиска конкретных типов информации (содержание специфических для этого типа информации реквизитов).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Возможность поиска по тексту и названию документа с формулированием запроса, как на естественном языке, так и с использованием различных логических условий и ограничений (поиск с учетом близости слов, поиск с одновременным использованием нескольких логических условий).</w:t>
      </w:r>
    </w:p>
    <w:p w:rsidR="001F179B" w:rsidRDefault="001F179B" w:rsidP="001F179B">
      <w:pPr>
        <w:tabs>
          <w:tab w:val="left" w:pos="0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11.Наличие в Системе 6 профилей специалистов:</w:t>
      </w:r>
    </w:p>
    <w:p w:rsidR="001F179B" w:rsidRDefault="001F179B" w:rsidP="001F179B">
      <w:pPr>
        <w:tabs>
          <w:tab w:val="left" w:pos="0"/>
          <w:tab w:val="left" w:pos="1276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"Бухгалтерия и кадры";</w:t>
      </w:r>
    </w:p>
    <w:p w:rsidR="001F179B" w:rsidRDefault="001F179B" w:rsidP="001F179B">
      <w:pPr>
        <w:tabs>
          <w:tab w:val="left" w:pos="0"/>
          <w:tab w:val="left" w:pos="1276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"Юрист";</w:t>
      </w:r>
    </w:p>
    <w:p w:rsidR="001F179B" w:rsidRDefault="001F179B" w:rsidP="001F179B">
      <w:pPr>
        <w:tabs>
          <w:tab w:val="left" w:pos="0"/>
          <w:tab w:val="left" w:pos="1276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"Бухгалтерия и кадры бюджетной организации";</w:t>
      </w:r>
    </w:p>
    <w:p w:rsidR="001F179B" w:rsidRDefault="001F179B" w:rsidP="001F179B">
      <w:pPr>
        <w:tabs>
          <w:tab w:val="left" w:pos="0"/>
          <w:tab w:val="left" w:pos="1276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"Специалист по закупкам";</w:t>
      </w:r>
    </w:p>
    <w:p w:rsidR="001F179B" w:rsidRDefault="001F179B" w:rsidP="001F179B">
      <w:pPr>
        <w:tabs>
          <w:tab w:val="left" w:pos="0"/>
          <w:tab w:val="left" w:pos="1276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"Кадры";</w:t>
      </w:r>
    </w:p>
    <w:p w:rsidR="001F179B" w:rsidRDefault="001F179B" w:rsidP="001F179B">
      <w:pPr>
        <w:tabs>
          <w:tab w:val="left" w:pos="0"/>
          <w:tab w:val="left" w:pos="1276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"Универсальный".</w:t>
      </w:r>
    </w:p>
    <w:p w:rsidR="001F179B" w:rsidRDefault="001F179B" w:rsidP="001F179B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Каждому профилю должны соответствовать свой вид главной страницы (набор важнейших нормативных правовых актов, справочной информации, новостные ленты) и особенности поисковой выдачи, адаптированные под профессиональные потребности соответствующих специалистов.</w:t>
      </w:r>
    </w:p>
    <w:p w:rsidR="001F179B" w:rsidRDefault="001F179B" w:rsidP="001F179B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редакции документа на конкретную дату с указанием диапазона дат действия редакции.</w:t>
      </w:r>
    </w:p>
    <w:p w:rsidR="001F179B" w:rsidRDefault="001F179B" w:rsidP="001F179B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Наличие инструментария для сравнения двух любых редакций документа, включая недействующие.</w:t>
      </w:r>
      <w:proofErr w:type="gramEnd"/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построения списка взаимосвязанных документов с указанием типа юридической связи документов и сортировкой по типам правовой информации.</w:t>
      </w:r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построения списка связанных с данным фрагментом документов к любому фрагменту текста нормативно правового акта: практически вплоть до любого абзаца. Результат должен быть представлен в виде удобного единого списка, структурированного  по типам документов.</w:t>
      </w:r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функции «отложенного поиска», предполагающей осуществление поиска по умолчанию при тематических запросах (</w:t>
      </w:r>
      <w:proofErr w:type="spellStart"/>
      <w:r>
        <w:rPr>
          <w:color w:val="000000"/>
          <w:sz w:val="28"/>
          <w:szCs w:val="28"/>
        </w:rPr>
        <w:t>нереквизитного</w:t>
      </w:r>
      <w:proofErr w:type="spellEnd"/>
      <w:r>
        <w:rPr>
          <w:color w:val="000000"/>
          <w:sz w:val="28"/>
          <w:szCs w:val="28"/>
        </w:rPr>
        <w:t>) среди всех документов, кроме судебных решений по конкретным делам.   Поиск среди вышеуказанных решений производится после дополнительной "команды" пользователя.</w:t>
      </w:r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постановки документов, определенных пользователем, на контроль для отслеживания информации о внесении изменений в них (в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редакции документов). При этом пользователь должен информироваться об изменении документа и о типе этого изменения (создана новая редакция, документ утратил силу и т.д.) непосредственно в системе.</w:t>
      </w:r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Возможность постановки на контроль отдельного пункта документа</w:t>
      </w:r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Возможность автоматического заказа и получения в реальном времени посредством сети Интернет текстов федеральных нормативно-правовых актов и судебных решений, отсутствующих в установленных у пользователя ИБ, однако упоминаемых в текстах других документов, имеющихся в ИБ пользователя, либо чьи полные реквизиты известны пользователю (при условии их наличия в других ИБ данного производителя, не вошедших в установленный у заказчика комплект).</w:t>
      </w:r>
      <w:proofErr w:type="gramEnd"/>
    </w:p>
    <w:p w:rsidR="001F179B" w:rsidRDefault="001F179B" w:rsidP="001F179B">
      <w:pPr>
        <w:widowControl/>
        <w:numPr>
          <w:ilvl w:val="0"/>
          <w:numId w:val="5"/>
        </w:numPr>
        <w:tabs>
          <w:tab w:val="left" w:pos="0"/>
        </w:tabs>
        <w:suppressAutoHyphens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из всех документов (включая судебные решения и авторские материалы) на другие документы по умолчанию должны вести в те редакции других документов, которые были актуальны на момент подготовки или принятия исходного документа (судебного решения, авторского материала).</w:t>
      </w:r>
    </w:p>
    <w:p w:rsidR="001F179B" w:rsidRDefault="001F179B" w:rsidP="001F179B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ind w:left="0" w:right="43" w:firstLine="709"/>
        <w:jc w:val="both"/>
        <w:rPr>
          <w:color w:val="000000"/>
          <w:sz w:val="28"/>
          <w:szCs w:val="28"/>
        </w:rPr>
      </w:pPr>
      <w:r>
        <w:rPr>
          <w:rFonts w:eastAsia="Albany AMT"/>
          <w:color w:val="000000"/>
          <w:sz w:val="28"/>
          <w:szCs w:val="28"/>
        </w:rPr>
        <w:t xml:space="preserve">Наличие у Исполнителя Лицензионного соглашения,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</w:t>
      </w:r>
      <w:proofErr w:type="spellStart"/>
      <w:r>
        <w:rPr>
          <w:rFonts w:eastAsia="Albany AMT"/>
          <w:color w:val="000000"/>
          <w:sz w:val="28"/>
          <w:szCs w:val="28"/>
        </w:rPr>
        <w:t>КонсультантПлюс</w:t>
      </w:r>
      <w:proofErr w:type="spellEnd"/>
      <w:r>
        <w:rPr>
          <w:rFonts w:eastAsia="Albany AMT"/>
          <w:color w:val="000000"/>
          <w:sz w:val="28"/>
          <w:szCs w:val="28"/>
        </w:rPr>
        <w:t>.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оказываемым услугам: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Периодичность обновления – еженедельное личное обновление Систем «Консультант Плюс» специалистом по информационному сопровождению на рабочих местах пользователей в региональном отделении и его 14 филиалах. 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Предоставление следующих видов безвозмездных услуг: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услуга «Горячая Линия»: оперативный поиск необходимых и редких документов;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обучение навыкам работы с СПС «</w:t>
      </w:r>
      <w:proofErr w:type="spellStart"/>
      <w:r>
        <w:rPr>
          <w:color w:val="000000"/>
          <w:sz w:val="28"/>
          <w:szCs w:val="28"/>
        </w:rPr>
        <w:t>КонсультантПлюс</w:t>
      </w:r>
      <w:proofErr w:type="spellEnd"/>
      <w:r>
        <w:rPr>
          <w:color w:val="000000"/>
          <w:sz w:val="28"/>
          <w:szCs w:val="28"/>
        </w:rPr>
        <w:t>» (с выдачей Сертификата);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перевод на новую версию;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Систем;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перенос Систем на другой компьютер;</w:t>
      </w:r>
    </w:p>
    <w:p w:rsidR="001F179B" w:rsidRDefault="001F179B" w:rsidP="001F179B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-предоставление еженедельного «Обзора правовой информации» и ежемесячного «Бюллетеня общероссийской Сети распространения правовой информации»; </w:t>
      </w:r>
    </w:p>
    <w:p w:rsidR="001F179B" w:rsidRDefault="001F179B" w:rsidP="001F179B">
      <w:pPr>
        <w:widowControl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неограниченная услуга «Линия консультаций» с возможностью из системы задать вопрос эксперту по налогообложению, бухучету, юридической тематике и трудовому праву.</w:t>
      </w:r>
    </w:p>
    <w:p w:rsidR="001F179B" w:rsidRDefault="001F179B" w:rsidP="001F179B">
      <w:pPr>
        <w:rPr>
          <w:color w:val="000000"/>
          <w:sz w:val="28"/>
          <w:szCs w:val="28"/>
        </w:rPr>
      </w:pPr>
    </w:p>
    <w:p w:rsidR="001F179B" w:rsidRDefault="001F179B" w:rsidP="001F179B">
      <w:pPr>
        <w:pStyle w:val="a4"/>
        <w:suppressAutoHyphens w:val="0"/>
        <w:snapToGrid w:val="0"/>
        <w:spacing w:line="360" w:lineRule="auto"/>
        <w:ind w:right="-397"/>
        <w:jc w:val="right"/>
        <w:rPr>
          <w:bCs/>
          <w:i/>
          <w:color w:val="000000"/>
          <w:sz w:val="28"/>
          <w:szCs w:val="28"/>
        </w:rPr>
      </w:pPr>
    </w:p>
    <w:p w:rsidR="001F179B" w:rsidRDefault="001F179B" w:rsidP="001F179B">
      <w:pPr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начальника отдела информатизации </w:t>
      </w:r>
    </w:p>
    <w:p w:rsidR="001F179B" w:rsidRDefault="001F179B" w:rsidP="001F179B">
      <w:pPr>
        <w:rPr>
          <w:color w:val="000000"/>
        </w:rPr>
      </w:pPr>
    </w:p>
    <w:p w:rsidR="001F179B" w:rsidRDefault="001F179B" w:rsidP="001F179B">
      <w:pPr>
        <w:jc w:val="right"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 Р.К. Харисов</w:t>
      </w:r>
    </w:p>
    <w:p w:rsidR="001F179B" w:rsidRDefault="001F179B" w:rsidP="001F179B">
      <w:pPr>
        <w:pStyle w:val="a4"/>
        <w:suppressAutoHyphens w:val="0"/>
        <w:snapToGrid w:val="0"/>
        <w:spacing w:line="360" w:lineRule="auto"/>
        <w:ind w:right="-397"/>
        <w:jc w:val="right"/>
        <w:rPr>
          <w:bCs/>
          <w:i/>
          <w:color w:val="000000"/>
          <w:sz w:val="28"/>
          <w:szCs w:val="28"/>
        </w:rPr>
      </w:pPr>
    </w:p>
    <w:p w:rsidR="001F179B" w:rsidRDefault="001F179B" w:rsidP="001F179B">
      <w:pPr>
        <w:pStyle w:val="a4"/>
        <w:suppressAutoHyphens w:val="0"/>
        <w:snapToGrid w:val="0"/>
        <w:spacing w:line="360" w:lineRule="auto"/>
        <w:ind w:right="-397"/>
        <w:jc w:val="right"/>
        <w:rPr>
          <w:bCs/>
          <w:i/>
          <w:color w:val="000000"/>
          <w:sz w:val="28"/>
          <w:szCs w:val="28"/>
        </w:rPr>
      </w:pPr>
    </w:p>
    <w:p w:rsidR="001F179B" w:rsidRDefault="001F179B" w:rsidP="001F179B">
      <w:pPr>
        <w:pStyle w:val="a4"/>
        <w:suppressAutoHyphens w:val="0"/>
        <w:snapToGrid w:val="0"/>
        <w:spacing w:line="360" w:lineRule="auto"/>
        <w:ind w:right="-397"/>
        <w:jc w:val="right"/>
        <w:rPr>
          <w:bCs/>
          <w:i/>
          <w:color w:val="000000"/>
          <w:sz w:val="28"/>
          <w:szCs w:val="28"/>
        </w:rPr>
      </w:pPr>
    </w:p>
    <w:p w:rsidR="001F179B" w:rsidRDefault="001F179B" w:rsidP="001F179B">
      <w:pPr>
        <w:pStyle w:val="a4"/>
        <w:suppressAutoHyphens w:val="0"/>
        <w:snapToGrid w:val="0"/>
        <w:spacing w:line="360" w:lineRule="auto"/>
        <w:ind w:right="-397"/>
        <w:jc w:val="right"/>
        <w:rPr>
          <w:bCs/>
          <w:i/>
          <w:color w:val="000000"/>
          <w:sz w:val="28"/>
          <w:szCs w:val="28"/>
        </w:rPr>
      </w:pPr>
    </w:p>
    <w:p w:rsidR="001F179B" w:rsidRDefault="001F179B" w:rsidP="001F179B">
      <w:pPr>
        <w:pStyle w:val="a4"/>
        <w:suppressAutoHyphens w:val="0"/>
        <w:snapToGrid w:val="0"/>
        <w:spacing w:line="360" w:lineRule="auto"/>
        <w:ind w:right="-397"/>
        <w:jc w:val="right"/>
        <w:rPr>
          <w:bCs/>
          <w:i/>
          <w:color w:val="000000"/>
          <w:sz w:val="28"/>
          <w:szCs w:val="28"/>
        </w:rPr>
      </w:pPr>
    </w:p>
    <w:p w:rsidR="001F179B" w:rsidRDefault="001F179B" w:rsidP="001F179B">
      <w:pPr>
        <w:pStyle w:val="a4"/>
        <w:suppressAutoHyphens w:val="0"/>
        <w:snapToGrid w:val="0"/>
        <w:spacing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Приложение № 1</w:t>
      </w:r>
    </w:p>
    <w:p w:rsidR="001F179B" w:rsidRDefault="001F179B" w:rsidP="001F179B">
      <w:pPr>
        <w:pStyle w:val="a4"/>
        <w:suppressAutoHyphens w:val="0"/>
        <w:snapToGrid w:val="0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Места оказания услуг</w:t>
      </w:r>
    </w:p>
    <w:tbl>
      <w:tblPr>
        <w:tblW w:w="0" w:type="auto"/>
        <w:tblInd w:w="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2588"/>
        <w:gridCol w:w="6845"/>
      </w:tblGrid>
      <w:tr w:rsidR="001F179B" w:rsidTr="0044188A">
        <w:trPr>
          <w:trHeight w:val="468"/>
        </w:trPr>
        <w:tc>
          <w:tcPr>
            <w:tcW w:w="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spacing w:line="100" w:lineRule="atLeast"/>
              <w:ind w:left="45" w:right="-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  <w:p w:rsidR="001F179B" w:rsidRDefault="001F179B" w:rsidP="0044188A">
            <w:pPr>
              <w:snapToGrid w:val="0"/>
              <w:ind w:left="45" w:right="-11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-8" w:right="-8" w:hanging="1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pStyle w:val="a7"/>
              <w:snapToGrid w:val="0"/>
              <w:ind w:left="5" w:right="5" w:hanging="3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</w:tr>
      <w:tr w:rsidR="001F179B" w:rsidTr="0044188A">
        <w:trPr>
          <w:trHeight w:val="459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-8" w:right="-8" w:firstLine="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ГУ-РО ФСС РФ по РТ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420111 г. Казань, ул. </w:t>
            </w:r>
            <w:proofErr w:type="spellStart"/>
            <w:r>
              <w:rPr>
                <w:color w:val="000000"/>
                <w:sz w:val="28"/>
                <w:szCs w:val="28"/>
              </w:rPr>
              <w:t>К.Наджми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д.2/39</w:t>
            </w:r>
          </w:p>
        </w:tc>
      </w:tr>
      <w:tr w:rsidR="001F179B" w:rsidTr="0044188A">
        <w:trPr>
          <w:trHeight w:val="333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1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420111 г. Казань, ул. </w:t>
            </w:r>
            <w:proofErr w:type="spellStart"/>
            <w:r>
              <w:rPr>
                <w:color w:val="000000"/>
                <w:sz w:val="28"/>
                <w:szCs w:val="28"/>
              </w:rPr>
              <w:t>К.Наджми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д.2/39</w:t>
            </w:r>
          </w:p>
        </w:tc>
      </w:tr>
      <w:tr w:rsidR="001F179B" w:rsidTr="0044188A">
        <w:trPr>
          <w:trHeight w:val="468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2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420029, г. Казань, ул. Сибирский тракт, д. 32</w:t>
            </w:r>
          </w:p>
        </w:tc>
      </w:tr>
      <w:tr w:rsidR="001F179B" w:rsidTr="0044188A">
        <w:trPr>
          <w:trHeight w:val="468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3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420111, г. Казань, ул. </w:t>
            </w:r>
            <w:proofErr w:type="spellStart"/>
            <w:r>
              <w:rPr>
                <w:color w:val="000000"/>
                <w:sz w:val="28"/>
                <w:szCs w:val="28"/>
              </w:rPr>
              <w:t>Кави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Наджми</w:t>
            </w:r>
            <w:proofErr w:type="spellEnd"/>
            <w:r>
              <w:rPr>
                <w:color w:val="000000"/>
                <w:sz w:val="28"/>
                <w:szCs w:val="28"/>
              </w:rPr>
              <w:t>, д. 2/39</w:t>
            </w:r>
          </w:p>
        </w:tc>
      </w:tr>
      <w:tr w:rsidR="001F179B" w:rsidTr="0044188A">
        <w:trPr>
          <w:trHeight w:val="468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4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420111, г. Казань, ул. </w:t>
            </w:r>
            <w:proofErr w:type="spellStart"/>
            <w:r>
              <w:rPr>
                <w:color w:val="000000"/>
                <w:sz w:val="28"/>
                <w:szCs w:val="28"/>
              </w:rPr>
              <w:t>Кави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Наджми</w:t>
            </w:r>
            <w:proofErr w:type="spellEnd"/>
            <w:r>
              <w:rPr>
                <w:color w:val="000000"/>
                <w:sz w:val="28"/>
                <w:szCs w:val="28"/>
              </w:rPr>
              <w:t>, д. 2/39</w:t>
            </w:r>
          </w:p>
        </w:tc>
      </w:tr>
      <w:tr w:rsidR="001F179B" w:rsidTr="0044188A">
        <w:trPr>
          <w:trHeight w:val="468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5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420044, г. Казань, ул. Восстания, д. 18Б</w:t>
            </w:r>
          </w:p>
        </w:tc>
      </w:tr>
      <w:tr w:rsidR="001F179B" w:rsidTr="0044188A">
        <w:trPr>
          <w:trHeight w:val="468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6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420102, г. Казань, ул. 2-ая Юго-Западная, д. 3</w:t>
            </w:r>
          </w:p>
        </w:tc>
      </w:tr>
      <w:tr w:rsidR="001F179B" w:rsidTr="0044188A">
        <w:trPr>
          <w:trHeight w:val="37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№ 8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420021, г. Казань, ул. Парижской Коммуны, д. 14</w:t>
            </w:r>
          </w:p>
        </w:tc>
      </w:tr>
      <w:tr w:rsidR="001F179B" w:rsidTr="0044188A">
        <w:trPr>
          <w:trHeight w:val="42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9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423802, РТ, г. Набережные Челны, Проспект М. </w:t>
            </w:r>
            <w:proofErr w:type="spellStart"/>
            <w:r>
              <w:rPr>
                <w:color w:val="000000"/>
                <w:sz w:val="28"/>
                <w:szCs w:val="28"/>
              </w:rPr>
              <w:t>Джалиля</w:t>
            </w:r>
            <w:proofErr w:type="spellEnd"/>
            <w:r>
              <w:rPr>
                <w:color w:val="000000"/>
                <w:sz w:val="28"/>
                <w:szCs w:val="28"/>
              </w:rPr>
              <w:t>, д.56</w:t>
            </w:r>
          </w:p>
        </w:tc>
      </w:tr>
      <w:tr w:rsidR="001F179B" w:rsidTr="0044188A">
        <w:trPr>
          <w:trHeight w:val="47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№ 10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423450, РТ, г. Альметьевск, ул. Советская</w:t>
            </w:r>
            <w:proofErr w:type="gramStart"/>
            <w:r>
              <w:rPr>
                <w:color w:val="000000"/>
                <w:sz w:val="28"/>
                <w:szCs w:val="28"/>
              </w:rPr>
              <w:t>,д</w:t>
            </w:r>
            <w:proofErr w:type="gramEnd"/>
            <w:r>
              <w:rPr>
                <w:color w:val="000000"/>
                <w:sz w:val="28"/>
                <w:szCs w:val="28"/>
              </w:rPr>
              <w:t>.186А</w:t>
            </w:r>
          </w:p>
        </w:tc>
      </w:tr>
      <w:tr w:rsidR="001F179B" w:rsidTr="0044188A">
        <w:trPr>
          <w:trHeight w:val="404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№ 11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423550, РТ, г. Нижнекамск, ул. </w:t>
            </w:r>
            <w:proofErr w:type="gramStart"/>
            <w:r>
              <w:rPr>
                <w:color w:val="000000"/>
                <w:sz w:val="28"/>
                <w:szCs w:val="28"/>
              </w:rPr>
              <w:t>Корабельная</w:t>
            </w:r>
            <w:proofErr w:type="gramEnd"/>
            <w:r>
              <w:rPr>
                <w:color w:val="000000"/>
                <w:sz w:val="28"/>
                <w:szCs w:val="28"/>
              </w:rPr>
              <w:t>, д.19</w:t>
            </w:r>
          </w:p>
        </w:tc>
      </w:tr>
      <w:tr w:rsidR="001F179B" w:rsidTr="0044188A">
        <w:trPr>
          <w:trHeight w:val="43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№ 12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422980, РТ, г. Чистополь, ул. </w:t>
            </w:r>
            <w:proofErr w:type="spellStart"/>
            <w:r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>
              <w:rPr>
                <w:color w:val="000000"/>
                <w:sz w:val="28"/>
                <w:szCs w:val="28"/>
              </w:rPr>
              <w:t>, д.56а</w:t>
            </w:r>
          </w:p>
        </w:tc>
      </w:tr>
      <w:tr w:rsidR="001F179B" w:rsidTr="0044188A">
        <w:trPr>
          <w:trHeight w:val="40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ind w:left="45" w:right="-1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№ 13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423600, РТ, г. Елабуга, ул. </w:t>
            </w:r>
            <w:proofErr w:type="spellStart"/>
            <w:r>
              <w:rPr>
                <w:color w:val="000000"/>
                <w:sz w:val="28"/>
                <w:szCs w:val="28"/>
              </w:rPr>
              <w:t>Тойминская</w:t>
            </w:r>
            <w:proofErr w:type="spellEnd"/>
            <w:r>
              <w:rPr>
                <w:color w:val="000000"/>
                <w:sz w:val="28"/>
                <w:szCs w:val="28"/>
              </w:rPr>
              <w:t>, д.1</w:t>
            </w:r>
          </w:p>
        </w:tc>
      </w:tr>
      <w:tr w:rsidR="001F179B" w:rsidTr="0044188A">
        <w:trPr>
          <w:trHeight w:val="40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Филиал № 14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422520, РТ, г. Зеленодольск, ул. Гоголя, 57</w:t>
            </w:r>
          </w:p>
        </w:tc>
      </w:tr>
      <w:tr w:rsidR="001F179B" w:rsidTr="0044188A">
        <w:trPr>
          <w:trHeight w:val="405"/>
        </w:trPr>
        <w:tc>
          <w:tcPr>
            <w:tcW w:w="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179B" w:rsidRDefault="001F179B" w:rsidP="004418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Филиал № 15</w:t>
            </w:r>
          </w:p>
        </w:tc>
        <w:tc>
          <w:tcPr>
            <w:tcW w:w="6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179B" w:rsidRDefault="001F179B" w:rsidP="0044188A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423802, РТ, г. Набережные Челны, Московский проспект д.55</w:t>
            </w:r>
          </w:p>
        </w:tc>
      </w:tr>
    </w:tbl>
    <w:p w:rsidR="001F179B" w:rsidRDefault="001F179B" w:rsidP="001F179B">
      <w:pPr>
        <w:pStyle w:val="a4"/>
        <w:suppressAutoHyphens w:val="0"/>
        <w:snapToGrid w:val="0"/>
        <w:spacing w:line="360" w:lineRule="auto"/>
        <w:jc w:val="right"/>
        <w:rPr>
          <w:color w:val="000000"/>
        </w:rPr>
      </w:pPr>
      <w:bookmarkStart w:id="0" w:name="_PictureBullets"/>
      <w:bookmarkEnd w:id="0"/>
    </w:p>
    <w:p w:rsidR="001F179B" w:rsidRDefault="001F179B" w:rsidP="001F179B"/>
    <w:p w:rsidR="00B74991" w:rsidRPr="001F179B" w:rsidRDefault="00B74991" w:rsidP="001F179B">
      <w:bookmarkStart w:id="1" w:name="_GoBack"/>
      <w:bookmarkEnd w:id="1"/>
    </w:p>
    <w:sectPr w:rsidR="00B74991" w:rsidRPr="001F179B" w:rsidSect="001F179B">
      <w:footerReference w:type="even" r:id="rId8"/>
      <w:footerReference w:type="default" r:id="rId9"/>
      <w:pgSz w:w="11906" w:h="16838"/>
      <w:pgMar w:top="777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1F" w:rsidRDefault="001A181F">
      <w:r>
        <w:separator/>
      </w:r>
    </w:p>
  </w:endnote>
  <w:endnote w:type="continuationSeparator" w:id="0">
    <w:p w:rsidR="001A181F" w:rsidRDefault="001A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1F17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1F" w:rsidRDefault="001A181F">
      <w:r>
        <w:separator/>
      </w:r>
    </w:p>
  </w:footnote>
  <w:footnote w:type="continuationSeparator" w:id="0">
    <w:p w:rsidR="001A181F" w:rsidRDefault="001A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</w:lvl>
  </w:abstractNum>
  <w:abstractNum w:abstractNumId="1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2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3">
    <w:nsid w:val="4FE9530C"/>
    <w:multiLevelType w:val="multilevel"/>
    <w:tmpl w:val="4B8EE3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72AF9"/>
    <w:rsid w:val="000A427B"/>
    <w:rsid w:val="00100D55"/>
    <w:rsid w:val="00156BB1"/>
    <w:rsid w:val="001A181F"/>
    <w:rsid w:val="001F179B"/>
    <w:rsid w:val="0024686C"/>
    <w:rsid w:val="00261BC2"/>
    <w:rsid w:val="002A2549"/>
    <w:rsid w:val="0030398A"/>
    <w:rsid w:val="00331207"/>
    <w:rsid w:val="003D4F4D"/>
    <w:rsid w:val="003F171E"/>
    <w:rsid w:val="004474D4"/>
    <w:rsid w:val="005667CC"/>
    <w:rsid w:val="00591850"/>
    <w:rsid w:val="00604147"/>
    <w:rsid w:val="0064368F"/>
    <w:rsid w:val="00662AA2"/>
    <w:rsid w:val="00682838"/>
    <w:rsid w:val="006A6431"/>
    <w:rsid w:val="006D18FB"/>
    <w:rsid w:val="00733B04"/>
    <w:rsid w:val="007517C8"/>
    <w:rsid w:val="0075518B"/>
    <w:rsid w:val="00784DB1"/>
    <w:rsid w:val="007F5B77"/>
    <w:rsid w:val="0080264B"/>
    <w:rsid w:val="0080397B"/>
    <w:rsid w:val="008504B7"/>
    <w:rsid w:val="0085201B"/>
    <w:rsid w:val="00900EE5"/>
    <w:rsid w:val="00955DEF"/>
    <w:rsid w:val="009B09DC"/>
    <w:rsid w:val="009C628A"/>
    <w:rsid w:val="00A7563D"/>
    <w:rsid w:val="00A76DC9"/>
    <w:rsid w:val="00A76FA4"/>
    <w:rsid w:val="00A84E80"/>
    <w:rsid w:val="00A86081"/>
    <w:rsid w:val="00AA6149"/>
    <w:rsid w:val="00AE591F"/>
    <w:rsid w:val="00B62E9B"/>
    <w:rsid w:val="00B70354"/>
    <w:rsid w:val="00B74991"/>
    <w:rsid w:val="00B77087"/>
    <w:rsid w:val="00BB5CFB"/>
    <w:rsid w:val="00BE1CB2"/>
    <w:rsid w:val="00BF3658"/>
    <w:rsid w:val="00C44378"/>
    <w:rsid w:val="00C477BB"/>
    <w:rsid w:val="00C52361"/>
    <w:rsid w:val="00CF3694"/>
    <w:rsid w:val="00D05AD4"/>
    <w:rsid w:val="00D16F03"/>
    <w:rsid w:val="00D30280"/>
    <w:rsid w:val="00D46CE2"/>
    <w:rsid w:val="00DC51D7"/>
    <w:rsid w:val="00DF7E1A"/>
    <w:rsid w:val="00E07EFE"/>
    <w:rsid w:val="00E219BE"/>
    <w:rsid w:val="00EA1992"/>
    <w:rsid w:val="00F22BC4"/>
    <w:rsid w:val="00F33370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4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0"/>
    <w:link w:val="a4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73</cp:revision>
  <dcterms:created xsi:type="dcterms:W3CDTF">2018-08-20T07:52:00Z</dcterms:created>
  <dcterms:modified xsi:type="dcterms:W3CDTF">2019-01-16T12:33:00Z</dcterms:modified>
</cp:coreProperties>
</file>