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1183" w:rsidRPr="00631183" w:rsidRDefault="00686735" w:rsidP="00541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(для пациентов со средним уровнем активности</w:t>
            </w:r>
            <w:r w:rsidR="00541370">
              <w:rPr>
                <w:rFonts w:ascii="Times New Roman" w:hAnsi="Times New Roman" w:cs="Times New Roman"/>
                <w:sz w:val="24"/>
                <w:szCs w:val="24"/>
              </w:rPr>
              <w:t>, с креплением за счет поддерживающего бандажа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A56ADF" w:rsidP="006F66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86735">
              <w:rPr>
                <w:rFonts w:ascii="Times New Roman" w:hAnsi="Times New Roman" w:cs="Times New Roman"/>
                <w:sz w:val="24"/>
                <w:szCs w:val="24"/>
              </w:rPr>
              <w:t xml:space="preserve">с мягкой модульной полиуретановой облицовкой, косметическое покрытие облицовки – чулки </w:t>
            </w:r>
            <w:proofErr w:type="spellStart"/>
            <w:r w:rsidR="00686735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="00686735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ортопедические,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крепление за счет поддерживающего бандажа, стопа с повышенной упругостью носочной части, коленный шарнир полицентрический с пневматическим управлением фазы переноса.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должен подходить д</w:t>
            </w:r>
            <w:r w:rsidR="00686735">
              <w:rPr>
                <w:rFonts w:ascii="Times New Roman" w:hAnsi="Times New Roman" w:cs="Times New Roman"/>
                <w:sz w:val="24"/>
                <w:szCs w:val="24"/>
              </w:rPr>
              <w:t>ля пациентов со средним уровнем активности.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BD5687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31183" w:rsidRPr="00631183" w:rsidRDefault="00686735" w:rsidP="002C3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2C352D">
              <w:rPr>
                <w:rFonts w:ascii="Times New Roman" w:hAnsi="Times New Roman" w:cs="Times New Roman"/>
                <w:sz w:val="24"/>
                <w:szCs w:val="24"/>
              </w:rPr>
              <w:t xml:space="preserve"> (для пациентов с высоким уровнем активности</w:t>
            </w:r>
            <w:r w:rsidR="00541370">
              <w:rPr>
                <w:rFonts w:ascii="Times New Roman" w:hAnsi="Times New Roman" w:cs="Times New Roman"/>
                <w:sz w:val="24"/>
                <w:szCs w:val="24"/>
              </w:rPr>
              <w:t>, с креплением за счет вакуума силиконового чехла)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B04549" w:rsidP="00B04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A56ADF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смол. Протез крепится на культе. Крепление за счет вакуума силиконового чехла. Стопа рассчитана на высокий уровень активности пациентов, высокий уровень энергосбережения. Конструкция стопы позволяет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 жесткость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зависимости от веса пациента. Модульный гидравлический пятизвенный коленный шарнир, имеет независимый механизм регулирования фазы сгибания и разгибания.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BD5687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A43EE" w:rsidRPr="00631183" w:rsidRDefault="00541370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(с креплением за счет замкового устройства)</w:t>
            </w:r>
          </w:p>
        </w:tc>
        <w:tc>
          <w:tcPr>
            <w:tcW w:w="6379" w:type="dxa"/>
            <w:shd w:val="clear" w:color="auto" w:fill="auto"/>
          </w:tcPr>
          <w:p w:rsidR="007A43EE" w:rsidRPr="00631183" w:rsidRDefault="00541370" w:rsidP="00541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модульный, с мягкой полиуретановой облицовкой (листовой поролон),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крепление за счет замкового устройства полимерного чехла.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голеностопным шарниром, подвижным в сагиттальной плоскости, со сменным пяточным амортизатором.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157746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57746" w:rsidRPr="00631183" w:rsidRDefault="00541370" w:rsidP="00282B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282B9F">
              <w:rPr>
                <w:rFonts w:ascii="Times New Roman" w:hAnsi="Times New Roman" w:cs="Times New Roman"/>
                <w:sz w:val="24"/>
                <w:szCs w:val="24"/>
              </w:rPr>
              <w:t xml:space="preserve"> (для пациентов со средним уровнем активности, с креплением за счет </w:t>
            </w:r>
            <w:r w:rsidR="0028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полимерного чехла)</w:t>
            </w:r>
          </w:p>
        </w:tc>
        <w:tc>
          <w:tcPr>
            <w:tcW w:w="6379" w:type="dxa"/>
            <w:shd w:val="clear" w:color="auto" w:fill="auto"/>
          </w:tcPr>
          <w:p w:rsidR="00157746" w:rsidRPr="00631183" w:rsidRDefault="00282B9F" w:rsidP="006F6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 бедра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 на основе акриловых смол, с полимерным чехлом, крепление за счет полимерного чехла.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упругостью носочной части, коленный шарнир полицентрический с пневматическим управлением фазы переноса. 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>Должен предназначаться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пациентов со средним уровнем активности.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AB7FCB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4F57AE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282B9F" w:rsidP="00282B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</w:t>
            </w:r>
            <w:r w:rsidR="00E94406">
              <w:rPr>
                <w:rFonts w:ascii="Times New Roman" w:hAnsi="Times New Roman" w:cs="Times New Roman"/>
                <w:sz w:val="24"/>
                <w:szCs w:val="24"/>
              </w:rPr>
              <w:t xml:space="preserve">стопа с высокими функциональными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пациентов с высоким уровнем активности, с креплением за счет замкового устройства полимерного чехла)</w:t>
            </w:r>
          </w:p>
        </w:tc>
        <w:tc>
          <w:tcPr>
            <w:tcW w:w="6379" w:type="dxa"/>
            <w:shd w:val="clear" w:color="auto" w:fill="auto"/>
          </w:tcPr>
          <w:p w:rsidR="004F57AE" w:rsidRPr="00631183" w:rsidRDefault="00282B9F" w:rsidP="00282B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</w:t>
            </w:r>
            <w:r w:rsidR="005B6082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модули титановые, стопа с высокими функциональными возможностями, энергосберегающая, для пациентов с высоким уровнем активности. Крепление </w:t>
            </w:r>
            <w:r w:rsidR="005B6082">
              <w:rPr>
                <w:rFonts w:ascii="Times New Roman" w:hAnsi="Times New Roman" w:cs="Times New Roman"/>
                <w:sz w:val="24"/>
                <w:szCs w:val="24"/>
              </w:rPr>
              <w:t xml:space="preserve">должно осуществляться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замкового устройства полимерного чехла.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AB7FCB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257E42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E94406" w:rsidP="0063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(стопа с осевой компрессией, ступенчатой упругостью для инвалидов со средним и высоким уровнями активности)</w:t>
            </w:r>
          </w:p>
        </w:tc>
        <w:tc>
          <w:tcPr>
            <w:tcW w:w="6379" w:type="dxa"/>
            <w:shd w:val="clear" w:color="auto" w:fill="auto"/>
          </w:tcPr>
          <w:p w:rsidR="004F57AE" w:rsidRPr="00631183" w:rsidRDefault="00E94406" w:rsidP="00E94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</w:t>
            </w:r>
            <w:r w:rsidR="005B6082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модули титановые, стопа с осевой компрессией, ступенчатой упругостью для компенсации неровностей почвы для инвалидов со средним и высоким уровнями активности. Крепление </w:t>
            </w:r>
            <w:r w:rsidR="005B6082">
              <w:rPr>
                <w:rFonts w:ascii="Times New Roman" w:hAnsi="Times New Roman" w:cs="Times New Roman"/>
                <w:sz w:val="24"/>
                <w:szCs w:val="24"/>
              </w:rPr>
              <w:t xml:space="preserve">должно осуществляться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замкового устройства полимерного чехла.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631183" w:rsidRDefault="005B3348" w:rsidP="00FB79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</w:t>
            </w:r>
            <w:r w:rsidR="00FB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>для пациентов с высоким уровнем активности, с креплением за счет вакуума)</w:t>
            </w:r>
          </w:p>
        </w:tc>
        <w:tc>
          <w:tcPr>
            <w:tcW w:w="6379" w:type="dxa"/>
            <w:shd w:val="clear" w:color="auto" w:fill="auto"/>
          </w:tcPr>
          <w:p w:rsidR="00FB4209" w:rsidRPr="00631183" w:rsidRDefault="005B3348" w:rsidP="00901C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Протез крепится на культе, крепление за счет вакуума. Стопа рассчитана на высокий уровень активности пациентов, высокий уровень энергосбережения. Конструкция стопы позволяет подбирать жесткость </w:t>
            </w:r>
            <w:proofErr w:type="spellStart"/>
            <w:r w:rsidR="00FB7931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зависимости от веса пациента. Модульный гидравлический однозвенный коленный шарнир 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>должен иметь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независимый механизм регулирования фазы сгибания и разгибания.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04D6" w:rsidRPr="007A43EE" w:rsidTr="0066182F">
        <w:tc>
          <w:tcPr>
            <w:tcW w:w="567" w:type="dxa"/>
            <w:shd w:val="clear" w:color="auto" w:fill="auto"/>
          </w:tcPr>
          <w:p w:rsidR="003804D6" w:rsidRDefault="003804D6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804D6" w:rsidRDefault="003804D6" w:rsidP="003804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(без косметической облицовки, для пациентов со средним и высоким уровнями активности)</w:t>
            </w:r>
          </w:p>
        </w:tc>
        <w:tc>
          <w:tcPr>
            <w:tcW w:w="6379" w:type="dxa"/>
            <w:shd w:val="clear" w:color="auto" w:fill="auto"/>
          </w:tcPr>
          <w:p w:rsidR="003804D6" w:rsidRDefault="003804D6" w:rsidP="009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косметической облицовки.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крепление за счет полимерного наколенника, стопа с решетчатым профилем и отведенным большим пальцем.  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>Должен предназначаться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пациентов со средним и высоким уровнями активности. Полуфабрикаты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</w:t>
            </w:r>
            <w:bookmarkStart w:id="0" w:name="_GoBack"/>
            <w:bookmarkEnd w:id="0"/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водостойкие.</w:t>
            </w:r>
          </w:p>
        </w:tc>
        <w:tc>
          <w:tcPr>
            <w:tcW w:w="1075" w:type="dxa"/>
            <w:shd w:val="clear" w:color="auto" w:fill="auto"/>
          </w:tcPr>
          <w:p w:rsidR="003804D6" w:rsidRDefault="00AB7FCB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AB7FCB">
        <w:trPr>
          <w:trHeight w:val="175"/>
        </w:trPr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AB7FCB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50267.0-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</w:tbl>
    <w:p w:rsidR="0068219F" w:rsidRDefault="0068219F" w:rsidP="005E3320"/>
    <w:sectPr w:rsidR="0068219F" w:rsidSect="005E3320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F4" w:rsidRDefault="002618F4">
      <w:pPr>
        <w:spacing w:after="0" w:line="240" w:lineRule="auto"/>
      </w:pPr>
      <w:r>
        <w:separator/>
      </w:r>
    </w:p>
  </w:endnote>
  <w:endnote w:type="continuationSeparator" w:id="0">
    <w:p w:rsidR="002618F4" w:rsidRDefault="002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F4" w:rsidRDefault="002618F4">
      <w:pPr>
        <w:spacing w:after="0" w:line="240" w:lineRule="auto"/>
      </w:pPr>
      <w:r>
        <w:separator/>
      </w:r>
    </w:p>
  </w:footnote>
  <w:footnote w:type="continuationSeparator" w:id="0">
    <w:p w:rsidR="002618F4" w:rsidRDefault="002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2618F4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18F4"/>
    <w:rsid w:val="00282B9F"/>
    <w:rsid w:val="0028617B"/>
    <w:rsid w:val="00287300"/>
    <w:rsid w:val="002A0647"/>
    <w:rsid w:val="002B3B16"/>
    <w:rsid w:val="002B5E49"/>
    <w:rsid w:val="002C352D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4D6"/>
    <w:rsid w:val="00380F97"/>
    <w:rsid w:val="00391680"/>
    <w:rsid w:val="0039214F"/>
    <w:rsid w:val="00394985"/>
    <w:rsid w:val="003A6E20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53506"/>
    <w:rsid w:val="00555CF0"/>
    <w:rsid w:val="00557970"/>
    <w:rsid w:val="0056669F"/>
    <w:rsid w:val="00570855"/>
    <w:rsid w:val="005B3348"/>
    <w:rsid w:val="005B6082"/>
    <w:rsid w:val="005D125D"/>
    <w:rsid w:val="005D73E2"/>
    <w:rsid w:val="005E08AC"/>
    <w:rsid w:val="005E0D47"/>
    <w:rsid w:val="005E3320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86735"/>
    <w:rsid w:val="006B08A9"/>
    <w:rsid w:val="006E6039"/>
    <w:rsid w:val="006F157A"/>
    <w:rsid w:val="006F3966"/>
    <w:rsid w:val="006F6693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98"/>
    <w:rsid w:val="00901CBF"/>
    <w:rsid w:val="00914F06"/>
    <w:rsid w:val="009206D5"/>
    <w:rsid w:val="00932B61"/>
    <w:rsid w:val="00957A00"/>
    <w:rsid w:val="00974049"/>
    <w:rsid w:val="009838DA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56ADF"/>
    <w:rsid w:val="00A651E1"/>
    <w:rsid w:val="00A7764B"/>
    <w:rsid w:val="00AA6E29"/>
    <w:rsid w:val="00AB7FCB"/>
    <w:rsid w:val="00AC0431"/>
    <w:rsid w:val="00AC1748"/>
    <w:rsid w:val="00AC6EB8"/>
    <w:rsid w:val="00AE4B42"/>
    <w:rsid w:val="00B03A71"/>
    <w:rsid w:val="00B04549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92D8D"/>
    <w:rsid w:val="00CC7944"/>
    <w:rsid w:val="00CE28F4"/>
    <w:rsid w:val="00CF1D0F"/>
    <w:rsid w:val="00CF712E"/>
    <w:rsid w:val="00CF776C"/>
    <w:rsid w:val="00D06D8E"/>
    <w:rsid w:val="00D148AB"/>
    <w:rsid w:val="00D327F9"/>
    <w:rsid w:val="00D52BBB"/>
    <w:rsid w:val="00D561C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4406"/>
    <w:rsid w:val="00E96FFE"/>
    <w:rsid w:val="00ED1F76"/>
    <w:rsid w:val="00ED3F78"/>
    <w:rsid w:val="00ED4C79"/>
    <w:rsid w:val="00F00233"/>
    <w:rsid w:val="00F252A6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163</cp:revision>
  <cp:lastPrinted>2018-12-26T14:17:00Z</cp:lastPrinted>
  <dcterms:created xsi:type="dcterms:W3CDTF">2018-12-26T13:20:00Z</dcterms:created>
  <dcterms:modified xsi:type="dcterms:W3CDTF">2019-01-18T12:21:00Z</dcterms:modified>
</cp:coreProperties>
</file>