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4D08F0" w:rsidRPr="00F01442" w:rsidRDefault="004D08F0" w:rsidP="004D08F0">
      <w:pPr>
        <w:jc w:val="center"/>
        <w:rPr>
          <w:b/>
          <w:color w:val="000000"/>
        </w:rPr>
      </w:pPr>
      <w:r w:rsidRPr="00F01442">
        <w:rPr>
          <w:b/>
          <w:color w:val="000000"/>
        </w:rPr>
        <w:t>на оказание услуг по техническому обслуживанию системы контроля управления доступом в 2018 году в помещениях Государственного учреждения – регионального отделения</w:t>
      </w:r>
    </w:p>
    <w:p w:rsidR="004D08F0" w:rsidRPr="00F01442" w:rsidRDefault="004D08F0" w:rsidP="004D08F0">
      <w:pPr>
        <w:jc w:val="center"/>
        <w:rPr>
          <w:rFonts w:eastAsia="Times New Roman"/>
          <w:b/>
          <w:color w:val="000000"/>
          <w:lang w:eastAsia="ru-RU"/>
        </w:rPr>
      </w:pPr>
      <w:r w:rsidRPr="00F01442">
        <w:rPr>
          <w:b/>
          <w:color w:val="000000"/>
        </w:rPr>
        <w:t>Фонда социального страхования Российской Федерации по Республике Татарстан (для субъектов малого предпринимательства, социально ориентированных некоммерческих организаций)</w:t>
      </w:r>
    </w:p>
    <w:p w:rsidR="004D08F0" w:rsidRDefault="004D08F0" w:rsidP="004D08F0">
      <w:pPr>
        <w:autoSpaceDE w:val="0"/>
        <w:ind w:firstLine="720"/>
        <w:jc w:val="both"/>
      </w:pPr>
    </w:p>
    <w:p w:rsidR="004D08F0" w:rsidRDefault="004D08F0" w:rsidP="004D08F0">
      <w:pPr>
        <w:autoSpaceDE w:val="0"/>
        <w:ind w:firstLine="720"/>
        <w:jc w:val="both"/>
      </w:pPr>
      <w:r>
        <w:t xml:space="preserve">Техническое обслуживание (далее - ТО) </w:t>
      </w:r>
      <w:r w:rsidRPr="00791C5F">
        <w:t xml:space="preserve">системы контроля управления доступом </w:t>
      </w:r>
      <w:r>
        <w:t>представляет собой комплекс организационно-технических мероприятий планово-предупредительного характера по по</w:t>
      </w:r>
      <w:r>
        <w:t>д</w:t>
      </w:r>
      <w:r>
        <w:t xml:space="preserve">держанию системы </w:t>
      </w:r>
      <w:r w:rsidRPr="00791C5F">
        <w:t xml:space="preserve">контроля управления доступом </w:t>
      </w:r>
      <w:r>
        <w:t>в состоянии, соответствующем требованиям технической д</w:t>
      </w:r>
      <w:r>
        <w:t>о</w:t>
      </w:r>
      <w:r>
        <w:t xml:space="preserve">кументации на систему </w:t>
      </w:r>
      <w:r w:rsidRPr="00791C5F">
        <w:t>контроля управления доступом</w:t>
      </w:r>
      <w:r>
        <w:t>.</w:t>
      </w:r>
    </w:p>
    <w:p w:rsidR="004D08F0" w:rsidRPr="00117DBE" w:rsidRDefault="004D08F0" w:rsidP="004D08F0">
      <w:pPr>
        <w:widowControl/>
        <w:tabs>
          <w:tab w:val="left" w:pos="0"/>
          <w:tab w:val="left" w:pos="709"/>
        </w:tabs>
        <w:suppressAutoHyphens w:val="0"/>
        <w:ind w:firstLine="567"/>
        <w:jc w:val="both"/>
        <w:rPr>
          <w:rFonts w:eastAsia="Times New Roman"/>
          <w:b/>
          <w:kern w:val="0"/>
          <w:lang w:eastAsia="en-US"/>
        </w:rPr>
      </w:pPr>
      <w:r w:rsidRPr="00117DBE">
        <w:rPr>
          <w:rFonts w:eastAsia="Times New Roman"/>
          <w:b/>
          <w:kern w:val="0"/>
          <w:lang w:eastAsia="en-US"/>
        </w:rPr>
        <w:t>1. Основными задачами технического обслуживания являются:</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контроль технического состояния установок;</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xml:space="preserve">- проверка соответствия установок, в </w:t>
      </w:r>
      <w:proofErr w:type="spellStart"/>
      <w:r w:rsidRPr="00117DBE">
        <w:rPr>
          <w:rFonts w:eastAsia="Times New Roman"/>
          <w:kern w:val="0"/>
          <w:lang w:eastAsia="en-US"/>
        </w:rPr>
        <w:t>т.ч</w:t>
      </w:r>
      <w:proofErr w:type="spellEnd"/>
      <w:r w:rsidRPr="00117DBE">
        <w:rPr>
          <w:rFonts w:eastAsia="Times New Roman"/>
          <w:kern w:val="0"/>
          <w:lang w:eastAsia="en-US"/>
        </w:rPr>
        <w:t>. их электрических и иных параметров по проекту и требованиям технической документации;</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ликвидация последствий воздействия на установки неблагоприятных климатических, производственных и иных условий;</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определение предельного состояния установок, при которых их дальнейшая эксплуатация становиться невозможной или нецелесообразной, путем проведения технического освидетельствования;</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анализ и обобщение информации о техническом состоянии обслуживаемых установок и их надежности при эксплуатации.</w:t>
      </w:r>
    </w:p>
    <w:p w:rsidR="004D08F0" w:rsidRPr="00117DBE" w:rsidRDefault="004D08F0" w:rsidP="004D08F0">
      <w:pPr>
        <w:widowControl/>
        <w:tabs>
          <w:tab w:val="left" w:pos="0"/>
        </w:tabs>
        <w:suppressAutoHyphens w:val="0"/>
        <w:ind w:firstLine="567"/>
        <w:jc w:val="both"/>
        <w:rPr>
          <w:rFonts w:eastAsia="Times New Roman"/>
          <w:kern w:val="0"/>
          <w:lang w:eastAsia="en-US"/>
        </w:rPr>
      </w:pP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b/>
          <w:kern w:val="0"/>
          <w:lang w:eastAsia="en-US"/>
        </w:rPr>
        <w:t>2. Техническое обслуживание включает в себя:</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проведение плановых работ;</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устранение неисправностей;</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оказание помощи Заказчику в вопросах правильной эксплуатации.</w:t>
      </w:r>
    </w:p>
    <w:p w:rsidR="004D08F0" w:rsidRPr="00117DBE" w:rsidRDefault="004D08F0" w:rsidP="004D08F0">
      <w:pPr>
        <w:widowControl/>
        <w:tabs>
          <w:tab w:val="left" w:pos="0"/>
        </w:tabs>
        <w:suppressAutoHyphens w:val="0"/>
        <w:ind w:firstLine="567"/>
        <w:jc w:val="both"/>
        <w:rPr>
          <w:rFonts w:eastAsia="Times New Roman"/>
          <w:b/>
          <w:kern w:val="0"/>
          <w:lang w:eastAsia="en-US"/>
        </w:rPr>
      </w:pPr>
    </w:p>
    <w:p w:rsidR="004D08F0" w:rsidRPr="00117DBE" w:rsidRDefault="004D08F0" w:rsidP="004D08F0">
      <w:pPr>
        <w:widowControl/>
        <w:tabs>
          <w:tab w:val="left" w:pos="0"/>
        </w:tabs>
        <w:suppressAutoHyphens w:val="0"/>
        <w:ind w:firstLine="567"/>
        <w:jc w:val="both"/>
        <w:rPr>
          <w:rFonts w:eastAsia="Times New Roman"/>
          <w:b/>
          <w:kern w:val="0"/>
          <w:lang w:eastAsia="en-US"/>
        </w:rPr>
      </w:pPr>
      <w:r w:rsidRPr="00117DBE">
        <w:rPr>
          <w:rFonts w:eastAsia="Times New Roman"/>
          <w:b/>
          <w:kern w:val="0"/>
          <w:lang w:eastAsia="en-US"/>
        </w:rPr>
        <w:t>3. Обязанности Исполнителя:</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проводить техническое обслуживание и ремонт в полном объеме, в соответствии с требованиями, установленными Заказчиком, в установленные сроки;</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xml:space="preserve">- соблюдать </w:t>
      </w:r>
      <w:proofErr w:type="spellStart"/>
      <w:r w:rsidRPr="00117DBE">
        <w:rPr>
          <w:rFonts w:eastAsia="Times New Roman"/>
          <w:kern w:val="0"/>
          <w:lang w:eastAsia="en-US"/>
        </w:rPr>
        <w:t>внутриобъектовый</w:t>
      </w:r>
      <w:proofErr w:type="spellEnd"/>
      <w:r w:rsidRPr="00117DBE">
        <w:rPr>
          <w:rFonts w:eastAsia="Times New Roman"/>
          <w:kern w:val="0"/>
          <w:lang w:eastAsia="en-US"/>
        </w:rPr>
        <w:t xml:space="preserve"> режим, правила техники безопасности, действующие у Заказчика;</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117DBE">
        <w:rPr>
          <w:rFonts w:eastAsia="Times New Roman"/>
          <w:kern w:val="0"/>
          <w:lang w:eastAsia="en-US"/>
        </w:rPr>
        <w:t>- в случае возникновения неисправностей в работе установок представитель Исполнителя обязан прибыть на объект в течение 1 (одного) часа после поступления сообщения об этом для определения и устранения причины неполадки;</w:t>
      </w:r>
    </w:p>
    <w:p w:rsidR="004D08F0" w:rsidRPr="00117DBE" w:rsidRDefault="004D08F0" w:rsidP="004D08F0">
      <w:pPr>
        <w:widowControl/>
        <w:tabs>
          <w:tab w:val="left" w:pos="0"/>
        </w:tabs>
        <w:suppressAutoHyphens w:val="0"/>
        <w:ind w:firstLine="567"/>
        <w:jc w:val="both"/>
        <w:rPr>
          <w:rFonts w:eastAsia="Times New Roman"/>
          <w:kern w:val="0"/>
          <w:lang w:eastAsia="en-US"/>
        </w:rPr>
      </w:pPr>
      <w:r w:rsidRPr="006753FA">
        <w:rPr>
          <w:rFonts w:eastAsia="Times New Roman"/>
          <w:kern w:val="0"/>
          <w:lang w:eastAsia="en-US"/>
        </w:rPr>
        <w:t>Оказывает услуги по техническому обслуживанию систем контроля и управления доступом в соответствии с действующими нормативными документами: РД 009-01-96 «Установки пожарной автоматики. Правила технического содержания», РД 009-02-096 «Установки пожарной автоматики. Техническое обслуживание и планово-предупредительный ремонт», ГОСТ 18322-2016 «Система технического обслуживания и ремонта техники. Термины и определения», по технологическим картам ТО штатного оборудования с соблюдением правил пожарной безопасности, правил техники безопасности и охраны труда.</w:t>
      </w:r>
    </w:p>
    <w:p w:rsidR="004D08F0" w:rsidRPr="00117DBE" w:rsidRDefault="004D08F0" w:rsidP="004D08F0">
      <w:pPr>
        <w:widowControl/>
        <w:suppressAutoHyphens w:val="0"/>
        <w:ind w:firstLine="567"/>
        <w:jc w:val="both"/>
        <w:rPr>
          <w:rFonts w:eastAsia="Times New Roman"/>
          <w:kern w:val="0"/>
          <w:lang w:eastAsia="en-US"/>
        </w:rPr>
      </w:pPr>
      <w:r w:rsidRPr="00117DBE">
        <w:rPr>
          <w:rFonts w:eastAsia="Times New Roman"/>
          <w:kern w:val="0"/>
          <w:lang w:eastAsia="en-US"/>
        </w:rPr>
        <w:t>Ремонт и замена вышедших из строя элементов системы контроля и управления доступом по мере необходимости (</w:t>
      </w:r>
      <w:r w:rsidRPr="00117DBE">
        <w:rPr>
          <w:rFonts w:eastAsia="Times New Roman"/>
          <w:b/>
          <w:kern w:val="0"/>
          <w:lang w:eastAsia="en-US"/>
        </w:rPr>
        <w:t>запчасти, модули</w:t>
      </w:r>
      <w:r>
        <w:rPr>
          <w:rFonts w:eastAsia="Times New Roman"/>
          <w:b/>
          <w:kern w:val="0"/>
          <w:lang w:eastAsia="en-US"/>
        </w:rPr>
        <w:t xml:space="preserve"> и узлы для замены приобретает Заказчик</w:t>
      </w:r>
      <w:r w:rsidRPr="00117DBE">
        <w:rPr>
          <w:rFonts w:eastAsia="Times New Roman"/>
          <w:kern w:val="0"/>
          <w:lang w:eastAsia="en-US"/>
        </w:rPr>
        <w:t>).</w:t>
      </w:r>
    </w:p>
    <w:p w:rsidR="004D08F0" w:rsidRPr="00117DBE" w:rsidRDefault="004D08F0" w:rsidP="004D08F0">
      <w:pPr>
        <w:widowControl/>
        <w:suppressAutoHyphens w:val="0"/>
        <w:ind w:firstLine="567"/>
        <w:jc w:val="both"/>
        <w:rPr>
          <w:rFonts w:eastAsia="Times New Roman"/>
          <w:kern w:val="0"/>
          <w:lang w:eastAsia="en-US"/>
        </w:rPr>
      </w:pPr>
      <w:r w:rsidRPr="00117DBE">
        <w:rPr>
          <w:rFonts w:eastAsia="Times New Roman"/>
          <w:kern w:val="0"/>
          <w:lang w:eastAsia="en-US"/>
        </w:rPr>
        <w:t>Техничес</w:t>
      </w:r>
      <w:r>
        <w:rPr>
          <w:rFonts w:eastAsia="Times New Roman"/>
          <w:kern w:val="0"/>
          <w:lang w:eastAsia="en-US"/>
        </w:rPr>
        <w:t>кий персонал Исполнителя обладает</w:t>
      </w:r>
      <w:r w:rsidRPr="00117DBE">
        <w:rPr>
          <w:rFonts w:eastAsia="Times New Roman"/>
          <w:kern w:val="0"/>
          <w:lang w:eastAsia="en-US"/>
        </w:rPr>
        <w:t xml:space="preserve"> достаточной квалификацией при выполнении услуг по данному контракту. Исполнитель не имеет права привлекать сторонние организации для оказания данной услуги.</w:t>
      </w:r>
    </w:p>
    <w:p w:rsidR="004D08F0" w:rsidRPr="00117DBE" w:rsidRDefault="004D08F0" w:rsidP="004D08F0">
      <w:pPr>
        <w:widowControl/>
        <w:suppressAutoHyphens w:val="0"/>
        <w:ind w:firstLine="567"/>
        <w:jc w:val="both"/>
        <w:rPr>
          <w:rFonts w:eastAsia="Times New Roman"/>
          <w:b/>
          <w:kern w:val="0"/>
          <w:lang w:eastAsia="en-US"/>
        </w:rPr>
      </w:pPr>
      <w:r>
        <w:rPr>
          <w:rFonts w:eastAsia="Times New Roman"/>
          <w:kern w:val="0"/>
          <w:lang w:eastAsia="en-US"/>
        </w:rPr>
        <w:t>Оказывает</w:t>
      </w:r>
      <w:r w:rsidRPr="00117DBE">
        <w:rPr>
          <w:rFonts w:eastAsia="Times New Roman"/>
          <w:kern w:val="0"/>
          <w:lang w:eastAsia="en-US"/>
        </w:rPr>
        <w:t xml:space="preserve"> услуги по техническому обслуживанию системы контроля и управления доступом</w:t>
      </w:r>
      <w:r>
        <w:rPr>
          <w:rFonts w:eastAsia="Times New Roman"/>
          <w:kern w:val="0"/>
          <w:lang w:eastAsia="en-US"/>
        </w:rPr>
        <w:t>,</w:t>
      </w:r>
      <w:r w:rsidRPr="00117DBE">
        <w:rPr>
          <w:rFonts w:eastAsia="Times New Roman"/>
          <w:kern w:val="0"/>
          <w:lang w:eastAsia="en-US"/>
        </w:rPr>
        <w:t xml:space="preserve"> учитывая режимный характер объекта. Исполнитель до начала оказания услуг назначает ответственных лиц за оказание всех видов услуг на объекте из числа своих ИТР. Для оформления разрешительных документов Исполнитель предоставляет Заказчику список персонала, который будет задействован на объекте с указанием фамилии, имени, отчества и </w:t>
      </w:r>
      <w:r w:rsidRPr="00117DBE">
        <w:rPr>
          <w:rFonts w:eastAsia="Times New Roman"/>
          <w:kern w:val="0"/>
          <w:lang w:eastAsia="en-US"/>
        </w:rPr>
        <w:lastRenderedPageBreak/>
        <w:t>паспортных данных каждого работника, а также номера автомашин, осуществляющих доставку материалов, оборудования и других грузов для оказания услуг. График оказа</w:t>
      </w:r>
      <w:r>
        <w:rPr>
          <w:rFonts w:eastAsia="Times New Roman"/>
          <w:kern w:val="0"/>
          <w:lang w:eastAsia="en-US"/>
        </w:rPr>
        <w:t>ния услуг разрабатывает</w:t>
      </w:r>
      <w:r w:rsidRPr="00117DBE">
        <w:rPr>
          <w:rFonts w:eastAsia="Times New Roman"/>
          <w:kern w:val="0"/>
          <w:lang w:eastAsia="en-US"/>
        </w:rPr>
        <w:t xml:space="preserve"> с учетом режима работы </w:t>
      </w:r>
      <w:r w:rsidRPr="00117DBE">
        <w:rPr>
          <w:rFonts w:eastAsia="Times New Roman"/>
          <w:bCs/>
          <w:kern w:val="0"/>
          <w:lang w:eastAsia="en-US"/>
        </w:rPr>
        <w:t>Заказчика</w:t>
      </w:r>
      <w:r w:rsidRPr="00117DBE">
        <w:rPr>
          <w:rFonts w:eastAsia="Times New Roman"/>
          <w:kern w:val="0"/>
          <w:lang w:eastAsia="en-US"/>
        </w:rPr>
        <w:t>.</w:t>
      </w:r>
    </w:p>
    <w:p w:rsidR="004D08F0" w:rsidRPr="00117DBE" w:rsidRDefault="004D08F0" w:rsidP="004D08F0">
      <w:pPr>
        <w:widowControl/>
        <w:suppressAutoHyphens w:val="0"/>
        <w:ind w:firstLine="567"/>
        <w:jc w:val="both"/>
        <w:rPr>
          <w:rFonts w:eastAsia="Times New Roman"/>
          <w:kern w:val="0"/>
          <w:lang w:eastAsia="en-US"/>
        </w:rPr>
      </w:pPr>
      <w:r w:rsidRPr="00117DBE">
        <w:rPr>
          <w:rFonts w:eastAsia="Times New Roman"/>
          <w:kern w:val="0"/>
          <w:lang w:eastAsia="en-US"/>
        </w:rPr>
        <w:t xml:space="preserve"> Ежемесячная проверка работоспособности систем контроля и управления доступом на объекте сотрудниками организации, оказывающей услуги, осуществляется в рабочее время (график работы административного здания: понедельник-четверг с 8:30 до 17:30, пятница с 8:30 до 16:15, суббота, воскресение - выходные дни).</w:t>
      </w:r>
    </w:p>
    <w:p w:rsidR="004D08F0" w:rsidRPr="00117DBE" w:rsidRDefault="004D08F0" w:rsidP="004D08F0">
      <w:pPr>
        <w:widowControl/>
        <w:suppressAutoHyphens w:val="0"/>
        <w:ind w:firstLine="567"/>
        <w:jc w:val="both"/>
        <w:rPr>
          <w:rFonts w:eastAsia="Times New Roman"/>
          <w:kern w:val="0"/>
          <w:lang w:eastAsia="en-US"/>
        </w:rPr>
      </w:pPr>
      <w:r>
        <w:rPr>
          <w:rFonts w:eastAsia="Times New Roman"/>
          <w:kern w:val="0"/>
          <w:lang w:eastAsia="en-US"/>
        </w:rPr>
        <w:t>Техническую</w:t>
      </w:r>
      <w:r w:rsidRPr="00117DBE">
        <w:rPr>
          <w:rFonts w:eastAsia="Times New Roman"/>
          <w:kern w:val="0"/>
          <w:lang w:eastAsia="en-US"/>
        </w:rPr>
        <w:t xml:space="preserve"> и консульта</w:t>
      </w:r>
      <w:r>
        <w:rPr>
          <w:rFonts w:eastAsia="Times New Roman"/>
          <w:kern w:val="0"/>
          <w:lang w:eastAsia="en-US"/>
        </w:rPr>
        <w:t>ционную поддержку осуществляет</w:t>
      </w:r>
      <w:r w:rsidRPr="00117DBE">
        <w:rPr>
          <w:rFonts w:eastAsia="Times New Roman"/>
          <w:kern w:val="0"/>
          <w:lang w:eastAsia="en-US"/>
        </w:rPr>
        <w:t xml:space="preserve"> 5 дней в неделю на весь период действия контракта. </w:t>
      </w:r>
    </w:p>
    <w:p w:rsidR="004D08F0" w:rsidRPr="00117DBE" w:rsidRDefault="004D08F0" w:rsidP="004D08F0">
      <w:pPr>
        <w:widowControl/>
        <w:suppressAutoHyphens w:val="0"/>
        <w:ind w:firstLine="567"/>
        <w:jc w:val="both"/>
        <w:rPr>
          <w:rFonts w:eastAsia="Times New Roman"/>
          <w:kern w:val="0"/>
          <w:lang w:eastAsia="en-US"/>
        </w:rPr>
      </w:pPr>
    </w:p>
    <w:p w:rsidR="004D08F0" w:rsidRPr="001A5F1A" w:rsidRDefault="004D08F0" w:rsidP="004D08F0">
      <w:pPr>
        <w:tabs>
          <w:tab w:val="left" w:pos="702"/>
        </w:tabs>
        <w:ind w:firstLine="567"/>
        <w:jc w:val="both"/>
        <w:rPr>
          <w:b/>
        </w:rPr>
      </w:pPr>
      <w:r>
        <w:rPr>
          <w:b/>
        </w:rPr>
        <w:t>4</w:t>
      </w:r>
      <w:r w:rsidRPr="001A5F1A">
        <w:rPr>
          <w:b/>
        </w:rPr>
        <w:t>. Наименование, характеристики и объем оказываемых услуг.</w:t>
      </w:r>
    </w:p>
    <w:p w:rsidR="004D08F0" w:rsidRPr="001A5F1A" w:rsidRDefault="004D08F0" w:rsidP="004D08F0">
      <w:pPr>
        <w:tabs>
          <w:tab w:val="left" w:pos="702"/>
        </w:tabs>
        <w:ind w:firstLine="567"/>
        <w:jc w:val="both"/>
        <w:rPr>
          <w:b/>
        </w:rPr>
      </w:pPr>
    </w:p>
    <w:tbl>
      <w:tblPr>
        <w:tblW w:w="4950" w:type="pct"/>
        <w:tblLook w:val="0000" w:firstRow="0" w:lastRow="0" w:firstColumn="0" w:lastColumn="0" w:noHBand="0" w:noVBand="0"/>
      </w:tblPr>
      <w:tblGrid>
        <w:gridCol w:w="801"/>
        <w:gridCol w:w="6146"/>
        <w:gridCol w:w="1332"/>
        <w:gridCol w:w="2037"/>
      </w:tblGrid>
      <w:tr w:rsidR="004D08F0" w:rsidRPr="001A5F1A" w:rsidTr="00207487">
        <w:trPr>
          <w:trHeight w:val="449"/>
        </w:trPr>
        <w:tc>
          <w:tcPr>
            <w:tcW w:w="328"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1440"/>
              </w:tabs>
              <w:snapToGrid w:val="0"/>
              <w:jc w:val="both"/>
              <w:rPr>
                <w:b/>
              </w:rPr>
            </w:pPr>
            <w:r>
              <w:rPr>
                <w:b/>
              </w:rPr>
              <w:t>№</w:t>
            </w:r>
            <w:proofErr w:type="gramStart"/>
            <w:r w:rsidRPr="001A5F1A">
              <w:rPr>
                <w:b/>
              </w:rPr>
              <w:t>п</w:t>
            </w:r>
            <w:proofErr w:type="gramEnd"/>
            <w:r w:rsidRPr="001A5F1A">
              <w:rPr>
                <w:b/>
              </w:rPr>
              <w:t>/п</w:t>
            </w:r>
          </w:p>
        </w:tc>
        <w:tc>
          <w:tcPr>
            <w:tcW w:w="2999"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1440"/>
              </w:tabs>
              <w:snapToGrid w:val="0"/>
              <w:jc w:val="center"/>
              <w:rPr>
                <w:b/>
              </w:rPr>
            </w:pPr>
            <w:r w:rsidRPr="001A5F1A">
              <w:rPr>
                <w:b/>
              </w:rPr>
              <w:t>Наименование услуг</w:t>
            </w:r>
            <w:r>
              <w:rPr>
                <w:b/>
              </w:rPr>
              <w:t xml:space="preserve"> Заказчика</w:t>
            </w:r>
          </w:p>
        </w:tc>
        <w:tc>
          <w:tcPr>
            <w:tcW w:w="666"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1440"/>
              </w:tabs>
              <w:snapToGrid w:val="0"/>
              <w:ind w:firstLine="14"/>
              <w:jc w:val="center"/>
              <w:rPr>
                <w:b/>
              </w:rPr>
            </w:pPr>
            <w:r w:rsidRPr="001A5F1A">
              <w:rPr>
                <w:b/>
              </w:rPr>
              <w:t>Кол-во объектов</w:t>
            </w:r>
          </w:p>
        </w:tc>
        <w:tc>
          <w:tcPr>
            <w:tcW w:w="1008"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tabs>
                <w:tab w:val="left" w:pos="1440"/>
              </w:tabs>
              <w:snapToGrid w:val="0"/>
              <w:jc w:val="center"/>
              <w:rPr>
                <w:b/>
              </w:rPr>
            </w:pPr>
            <w:r w:rsidRPr="001A5F1A">
              <w:rPr>
                <w:b/>
              </w:rPr>
              <w:t>Периодичность</w:t>
            </w:r>
          </w:p>
        </w:tc>
      </w:tr>
      <w:tr w:rsidR="004D08F0" w:rsidRPr="001A5F1A" w:rsidTr="00207487">
        <w:tc>
          <w:tcPr>
            <w:tcW w:w="328"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1440"/>
              </w:tabs>
              <w:snapToGrid w:val="0"/>
              <w:jc w:val="center"/>
            </w:pPr>
            <w:r w:rsidRPr="001A5F1A">
              <w:t>1</w:t>
            </w:r>
          </w:p>
        </w:tc>
        <w:tc>
          <w:tcPr>
            <w:tcW w:w="2999" w:type="pct"/>
            <w:tcBorders>
              <w:top w:val="single" w:sz="4" w:space="0" w:color="000000"/>
              <w:left w:val="single" w:sz="4" w:space="0" w:color="000000"/>
              <w:bottom w:val="single" w:sz="4" w:space="0" w:color="000000"/>
            </w:tcBorders>
          </w:tcPr>
          <w:p w:rsidR="004D08F0" w:rsidRPr="001A5F1A" w:rsidRDefault="004D08F0" w:rsidP="00207487">
            <w:pPr>
              <w:tabs>
                <w:tab w:val="left" w:pos="1440"/>
              </w:tabs>
              <w:snapToGrid w:val="0"/>
              <w:ind w:firstLine="567"/>
              <w:jc w:val="both"/>
            </w:pPr>
            <w:r w:rsidRPr="001A5F1A">
              <w:t>Техническое обслуживание и планово-предупредительный ремонт системы контроля и управления доступом</w:t>
            </w:r>
            <w:r>
              <w:t>.</w:t>
            </w:r>
          </w:p>
        </w:tc>
        <w:tc>
          <w:tcPr>
            <w:tcW w:w="666"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1440"/>
              </w:tabs>
              <w:snapToGrid w:val="0"/>
              <w:ind w:firstLine="567"/>
              <w:jc w:val="both"/>
            </w:pPr>
            <w:r w:rsidRPr="001A5F1A">
              <w:t>1</w:t>
            </w:r>
          </w:p>
        </w:tc>
        <w:tc>
          <w:tcPr>
            <w:tcW w:w="1008"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tabs>
                <w:tab w:val="left" w:pos="1440"/>
              </w:tabs>
              <w:snapToGrid w:val="0"/>
              <w:ind w:firstLine="567"/>
              <w:jc w:val="both"/>
            </w:pPr>
            <w:r w:rsidRPr="001A5F1A">
              <w:t>Согласно регламентам ТО</w:t>
            </w:r>
          </w:p>
        </w:tc>
      </w:tr>
      <w:tr w:rsidR="004D08F0" w:rsidRPr="001A5F1A" w:rsidTr="00207487">
        <w:tc>
          <w:tcPr>
            <w:tcW w:w="328"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1440"/>
              </w:tabs>
              <w:snapToGrid w:val="0"/>
              <w:jc w:val="center"/>
            </w:pPr>
            <w:r w:rsidRPr="001A5F1A">
              <w:t>2</w:t>
            </w:r>
          </w:p>
        </w:tc>
        <w:tc>
          <w:tcPr>
            <w:tcW w:w="2999" w:type="pct"/>
            <w:tcBorders>
              <w:top w:val="single" w:sz="4" w:space="0" w:color="000000"/>
              <w:left w:val="single" w:sz="4" w:space="0" w:color="000000"/>
              <w:bottom w:val="single" w:sz="4" w:space="0" w:color="000000"/>
            </w:tcBorders>
          </w:tcPr>
          <w:p w:rsidR="004D08F0" w:rsidRPr="001A5F1A" w:rsidRDefault="004D08F0" w:rsidP="00207487">
            <w:pPr>
              <w:tabs>
                <w:tab w:val="left" w:pos="1440"/>
              </w:tabs>
              <w:snapToGrid w:val="0"/>
              <w:ind w:firstLine="567"/>
              <w:jc w:val="both"/>
            </w:pPr>
            <w:r w:rsidRPr="001A5F1A">
              <w:t>В случае сообщения Заказчиком о нарушении или выходе из строя оборудования, Исполнитель проводит необходимые диагностические и восстановительные работы, в согласованные с Заказчиком сроки независимо от проведения работ, указанных в пункте 1 настоящего перечня.</w:t>
            </w:r>
          </w:p>
        </w:tc>
        <w:tc>
          <w:tcPr>
            <w:tcW w:w="1673" w:type="pct"/>
            <w:gridSpan w:val="2"/>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tabs>
                <w:tab w:val="left" w:pos="1440"/>
              </w:tabs>
              <w:snapToGrid w:val="0"/>
              <w:jc w:val="both"/>
            </w:pPr>
            <w:r w:rsidRPr="001A5F1A">
              <w:t>По мере необходимости</w:t>
            </w:r>
          </w:p>
        </w:tc>
      </w:tr>
    </w:tbl>
    <w:p w:rsidR="004D08F0" w:rsidRPr="001A5F1A" w:rsidRDefault="004D08F0" w:rsidP="004D08F0">
      <w:pPr>
        <w:ind w:firstLine="567"/>
        <w:jc w:val="both"/>
        <w:rPr>
          <w:b/>
        </w:rPr>
      </w:pPr>
    </w:p>
    <w:p w:rsidR="004D08F0" w:rsidRPr="001A5F1A" w:rsidRDefault="004D08F0" w:rsidP="004D08F0">
      <w:pPr>
        <w:ind w:firstLine="567"/>
        <w:jc w:val="center"/>
        <w:rPr>
          <w:b/>
        </w:rPr>
      </w:pPr>
      <w:r>
        <w:rPr>
          <w:b/>
        </w:rPr>
        <w:t>5</w:t>
      </w:r>
      <w:r w:rsidRPr="001A5F1A">
        <w:rPr>
          <w:b/>
        </w:rPr>
        <w:t>. Регламент технического обслуживания системы контроля и управления доступом.</w:t>
      </w:r>
    </w:p>
    <w:p w:rsidR="004D08F0" w:rsidRPr="001A5F1A" w:rsidRDefault="004D08F0" w:rsidP="004D08F0">
      <w:pPr>
        <w:ind w:firstLine="567"/>
        <w:jc w:val="both"/>
        <w:rPr>
          <w:b/>
        </w:rPr>
      </w:pPr>
    </w:p>
    <w:tbl>
      <w:tblPr>
        <w:tblW w:w="5000" w:type="pct"/>
        <w:tblInd w:w="-34" w:type="dxa"/>
        <w:tblLook w:val="0000" w:firstRow="0" w:lastRow="0" w:firstColumn="0" w:lastColumn="0" w:noHBand="0" w:noVBand="0"/>
      </w:tblPr>
      <w:tblGrid>
        <w:gridCol w:w="854"/>
        <w:gridCol w:w="7538"/>
        <w:gridCol w:w="2028"/>
      </w:tblGrid>
      <w:tr w:rsidR="004D08F0" w:rsidRPr="001A5F1A" w:rsidTr="00207487">
        <w:trPr>
          <w:trHeight w:val="342"/>
        </w:trPr>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tabs>
                <w:tab w:val="left" w:pos="34"/>
              </w:tabs>
              <w:snapToGrid w:val="0"/>
              <w:ind w:left="34" w:right="-256"/>
              <w:jc w:val="both"/>
              <w:rPr>
                <w:b/>
              </w:rPr>
            </w:pPr>
            <w:r>
              <w:rPr>
                <w:b/>
              </w:rPr>
              <w:t xml:space="preserve">№ </w:t>
            </w:r>
            <w:proofErr w:type="spellStart"/>
            <w:r>
              <w:rPr>
                <w:b/>
              </w:rPr>
              <w:t>п.п</w:t>
            </w:r>
            <w:proofErr w:type="spellEnd"/>
            <w:r>
              <w:rPr>
                <w:b/>
              </w:rPr>
              <w:t>.</w:t>
            </w:r>
          </w:p>
        </w:tc>
        <w:tc>
          <w:tcPr>
            <w:tcW w:w="3617"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rPr>
                <w:b/>
              </w:rPr>
            </w:pPr>
            <w:r w:rsidRPr="001A5F1A">
              <w:rPr>
                <w:b/>
              </w:rPr>
              <w:t>Наименование услуг</w:t>
            </w:r>
            <w:r>
              <w:rPr>
                <w:b/>
              </w:rPr>
              <w:t xml:space="preserve"> Заказчика</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both"/>
              <w:rPr>
                <w:b/>
              </w:rPr>
            </w:pPr>
            <w:r w:rsidRPr="001A5F1A">
              <w:rPr>
                <w:b/>
              </w:rPr>
              <w:t>Периодичность</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rsidRPr="001A5F1A">
              <w:t>1</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Внешний осмотр и проверка работоспособности оборудования системы контроля и управления доступом (считывателей идентификационных карт, кнопок выхода, дверных доводчиков, электромеханических/электромагнитных замков, блоков питания и вспомогательного оборудования). Проверка прочности крепления оборудования и коммутационных соединений.</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proofErr w:type="gramStart"/>
            <w:r w:rsidRPr="001A5F1A">
              <w:t>е</w:t>
            </w:r>
            <w:proofErr w:type="gramEnd"/>
            <w:r w:rsidRPr="001A5F1A">
              <w:t>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2</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Контроль рабочего положения выключателей/переключателей. Контроль исправности световой индикации, наличие пломб на приборах.</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proofErr w:type="gramStart"/>
            <w:r w:rsidRPr="001A5F1A">
              <w:t>е</w:t>
            </w:r>
            <w:proofErr w:type="gramEnd"/>
            <w:r w:rsidRPr="001A5F1A">
              <w:t>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3</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Проверка кабельных коммуникаций и линий связи на предмет повреждений.</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ежемесячно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4</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 xml:space="preserve">Осмотр состояния целостности проложенных коробов и </w:t>
            </w:r>
            <w:proofErr w:type="spellStart"/>
            <w:r w:rsidRPr="001A5F1A">
              <w:t>гофротруб</w:t>
            </w:r>
            <w:proofErr w:type="spellEnd"/>
            <w:r w:rsidRPr="001A5F1A">
              <w:t>.</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ежемесячно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5</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Проверка на помехоустойчивости системы.</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ежемесячно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6</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Проверка наличия и подключения заземления.</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ежемесячно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7</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Комплексная проверка работоспособности системы в целом.</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ежемесячно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8</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Ликвидация последствий воздействия на оборудование климатических, технологических и иных неблагоприятных условий (снег, обледенения, ветер, грозовые разряды молний, перепад напряжения, отключение электроэнергии и т.д.), а именно: восстановление кабельных трасс, чистка и протирка наружных поверхностей и прочие работы.</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по</w:t>
            </w:r>
          </w:p>
          <w:p w:rsidR="004D08F0" w:rsidRPr="001A5F1A" w:rsidRDefault="004D08F0" w:rsidP="00207487">
            <w:pPr>
              <w:snapToGrid w:val="0"/>
              <w:jc w:val="center"/>
            </w:pPr>
            <w:r w:rsidRPr="001A5F1A">
              <w:t>необходимости</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9</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Устранение неисправностей, возникающих в процессе эксплуатации, с заменой мелких деталей</w:t>
            </w:r>
            <w:r>
              <w:t xml:space="preserve"> (запасные части предоставляет Заказчик)</w:t>
            </w:r>
            <w:r w:rsidRPr="001A5F1A">
              <w:t>.</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по</w:t>
            </w:r>
          </w:p>
          <w:p w:rsidR="004D08F0" w:rsidRPr="001A5F1A" w:rsidRDefault="004D08F0" w:rsidP="00207487">
            <w:pPr>
              <w:snapToGrid w:val="0"/>
              <w:jc w:val="center"/>
            </w:pPr>
            <w:r w:rsidRPr="001A5F1A">
              <w:t>необходимости</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10</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 xml:space="preserve">Проверка сохранения работоспособности при автоматическом переходе на резервное питание и обратно, проверка исправности и соответствия номинала предохранителей в источниках постоянного </w:t>
            </w:r>
            <w:r w:rsidRPr="001A5F1A">
              <w:lastRenderedPageBreak/>
              <w:t>тока, бесперебойных (резервных) источниках питания, диагностика аккумуляторов.</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lastRenderedPageBreak/>
              <w:t xml:space="preserve">4 раза </w:t>
            </w:r>
            <w:proofErr w:type="gramStart"/>
            <w:r w:rsidRPr="001A5F1A">
              <w:t>в течение действия контракта</w:t>
            </w:r>
            <w:proofErr w:type="gramEnd"/>
            <w:r>
              <w:t xml:space="preserve"> (1, 2, </w:t>
            </w:r>
            <w:r>
              <w:lastRenderedPageBreak/>
              <w:t>3, 4 квартала)</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lastRenderedPageBreak/>
              <w:t>11</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Контроль правильности настроек установленного программного обеспечения и программирования режимов работы, проверка параметров операционной системы и прикладных программ.</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snapToGrid w:val="0"/>
              <w:jc w:val="center"/>
            </w:pPr>
            <w:r w:rsidRPr="001A5F1A">
              <w:t>ежемесячно</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12</w:t>
            </w:r>
          </w:p>
        </w:tc>
        <w:tc>
          <w:tcPr>
            <w:tcW w:w="3617" w:type="pct"/>
            <w:tcBorders>
              <w:top w:val="single" w:sz="4" w:space="0" w:color="000000"/>
              <w:left w:val="single" w:sz="4" w:space="0" w:color="000000"/>
              <w:bottom w:val="single" w:sz="4" w:space="0" w:color="000000"/>
            </w:tcBorders>
          </w:tcPr>
          <w:p w:rsidR="004D08F0" w:rsidRPr="001A5F1A" w:rsidRDefault="004D08F0" w:rsidP="00207487">
            <w:pPr>
              <w:snapToGrid w:val="0"/>
              <w:ind w:left="43"/>
              <w:jc w:val="both"/>
            </w:pPr>
            <w:r w:rsidRPr="001A5F1A">
              <w:t>Измерение электрических параметров, контроль величин выходного напряжения, контроль величины тока срабатывания автоматической защиты от перегрузки, измерение сопротивления изоляции кабелей.</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jc w:val="center"/>
            </w:pPr>
            <w:r w:rsidRPr="001A5F1A">
              <w:t xml:space="preserve">2 раза </w:t>
            </w:r>
            <w:proofErr w:type="gramStart"/>
            <w:r w:rsidRPr="001A5F1A">
              <w:t>в течение действия контракта</w:t>
            </w:r>
            <w:proofErr w:type="gramEnd"/>
            <w:r>
              <w:t xml:space="preserve"> (июнь, декабрь)</w:t>
            </w:r>
          </w:p>
        </w:tc>
      </w:tr>
      <w:tr w:rsidR="004D08F0" w:rsidRPr="001A5F1A" w:rsidTr="00207487">
        <w:tc>
          <w:tcPr>
            <w:tcW w:w="410"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jc w:val="center"/>
            </w:pPr>
            <w:r>
              <w:t>13</w:t>
            </w:r>
          </w:p>
        </w:tc>
        <w:tc>
          <w:tcPr>
            <w:tcW w:w="3617" w:type="pct"/>
            <w:tcBorders>
              <w:top w:val="single" w:sz="4" w:space="0" w:color="000000"/>
              <w:left w:val="single" w:sz="4" w:space="0" w:color="000000"/>
              <w:bottom w:val="single" w:sz="4" w:space="0" w:color="000000"/>
            </w:tcBorders>
            <w:vAlign w:val="center"/>
          </w:tcPr>
          <w:p w:rsidR="004D08F0" w:rsidRPr="001A5F1A" w:rsidRDefault="004D08F0" w:rsidP="00207487">
            <w:pPr>
              <w:snapToGrid w:val="0"/>
              <w:ind w:left="43"/>
              <w:jc w:val="both"/>
            </w:pPr>
            <w:r w:rsidRPr="001A5F1A">
              <w:t>Проверка условий использования, контроль температуры, влажности и степени загрязненности воздуха.</w:t>
            </w:r>
          </w:p>
        </w:tc>
        <w:tc>
          <w:tcPr>
            <w:tcW w:w="973" w:type="pct"/>
            <w:tcBorders>
              <w:top w:val="single" w:sz="4" w:space="0" w:color="000000"/>
              <w:left w:val="single" w:sz="4" w:space="0" w:color="000000"/>
              <w:bottom w:val="single" w:sz="4" w:space="0" w:color="000000"/>
              <w:right w:val="single" w:sz="4" w:space="0" w:color="000000"/>
            </w:tcBorders>
            <w:vAlign w:val="center"/>
          </w:tcPr>
          <w:p w:rsidR="004D08F0" w:rsidRPr="001A5F1A" w:rsidRDefault="004D08F0" w:rsidP="00207487">
            <w:pPr>
              <w:jc w:val="center"/>
            </w:pPr>
            <w:r w:rsidRPr="001A5F1A">
              <w:t>1 раз в течение действия контракта</w:t>
            </w:r>
          </w:p>
        </w:tc>
      </w:tr>
    </w:tbl>
    <w:p w:rsidR="004D08F0" w:rsidRPr="001A5F1A" w:rsidRDefault="004D08F0" w:rsidP="004D08F0">
      <w:pPr>
        <w:jc w:val="both"/>
      </w:pPr>
    </w:p>
    <w:p w:rsidR="004D08F0" w:rsidRPr="001A5F1A" w:rsidRDefault="004D08F0" w:rsidP="004D08F0">
      <w:pPr>
        <w:ind w:firstLine="567"/>
        <w:jc w:val="both"/>
        <w:rPr>
          <w:b/>
        </w:rPr>
      </w:pPr>
      <w:r>
        <w:rPr>
          <w:b/>
        </w:rPr>
        <w:t>6</w:t>
      </w:r>
      <w:r w:rsidRPr="001A5F1A">
        <w:rPr>
          <w:b/>
        </w:rPr>
        <w:t>. Спецификация оборудования, программного обеспечения, подлежащего</w:t>
      </w:r>
    </w:p>
    <w:p w:rsidR="004D08F0" w:rsidRPr="001A5F1A" w:rsidRDefault="004D08F0" w:rsidP="004D08F0">
      <w:pPr>
        <w:ind w:firstLine="567"/>
        <w:jc w:val="both"/>
        <w:rPr>
          <w:b/>
        </w:rPr>
      </w:pPr>
      <w:r w:rsidRPr="001A5F1A">
        <w:rPr>
          <w:b/>
        </w:rPr>
        <w:t xml:space="preserve">техническому обслуживанию. </w:t>
      </w:r>
    </w:p>
    <w:tbl>
      <w:tblPr>
        <w:tblW w:w="10238" w:type="dxa"/>
        <w:tblInd w:w="93" w:type="dxa"/>
        <w:tblLook w:val="04A0" w:firstRow="1" w:lastRow="0" w:firstColumn="1" w:lastColumn="0" w:noHBand="0" w:noVBand="1"/>
      </w:tblPr>
      <w:tblGrid>
        <w:gridCol w:w="582"/>
        <w:gridCol w:w="6691"/>
        <w:gridCol w:w="1560"/>
        <w:gridCol w:w="1405"/>
      </w:tblGrid>
      <w:tr w:rsidR="004D08F0" w:rsidRPr="00622A04" w:rsidTr="00207487">
        <w:trPr>
          <w:trHeight w:val="64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D08F0" w:rsidRPr="00622A04" w:rsidRDefault="004D08F0" w:rsidP="00207487">
            <w:pPr>
              <w:ind w:left="-235" w:right="-250" w:firstLine="1"/>
              <w:jc w:val="center"/>
              <w:rPr>
                <w:color w:val="000000"/>
              </w:rPr>
            </w:pPr>
            <w:r w:rsidRPr="00622A04">
              <w:rPr>
                <w:color w:val="000000"/>
              </w:rPr>
              <w:t xml:space="preserve">№ </w:t>
            </w:r>
          </w:p>
          <w:p w:rsidR="004D08F0" w:rsidRPr="00622A04" w:rsidRDefault="004D08F0" w:rsidP="00207487">
            <w:pPr>
              <w:ind w:left="-235" w:right="-250" w:firstLine="1"/>
              <w:jc w:val="center"/>
              <w:rPr>
                <w:color w:val="000000"/>
              </w:rPr>
            </w:pPr>
            <w:proofErr w:type="gramStart"/>
            <w:r w:rsidRPr="00622A04">
              <w:rPr>
                <w:color w:val="000000"/>
              </w:rPr>
              <w:t>п</w:t>
            </w:r>
            <w:proofErr w:type="gramEnd"/>
            <w:r w:rsidRPr="00622A04">
              <w:rPr>
                <w:color w:val="000000"/>
              </w:rPr>
              <w:t>/п</w:t>
            </w:r>
          </w:p>
        </w:tc>
        <w:tc>
          <w:tcPr>
            <w:tcW w:w="6691" w:type="dxa"/>
            <w:tcBorders>
              <w:top w:val="single" w:sz="4" w:space="0" w:color="auto"/>
              <w:left w:val="nil"/>
              <w:bottom w:val="single" w:sz="4" w:space="0" w:color="auto"/>
              <w:right w:val="single" w:sz="4" w:space="0" w:color="auto"/>
            </w:tcBorders>
            <w:shd w:val="clear" w:color="auto" w:fill="auto"/>
            <w:hideMark/>
          </w:tcPr>
          <w:p w:rsidR="004D08F0" w:rsidRPr="00C11023" w:rsidRDefault="004D08F0" w:rsidP="00207487">
            <w:pPr>
              <w:ind w:left="34"/>
              <w:jc w:val="center"/>
              <w:rPr>
                <w:color w:val="000000"/>
              </w:rPr>
            </w:pPr>
            <w:r w:rsidRPr="00C11023">
              <w:rPr>
                <w:color w:val="000000"/>
              </w:rPr>
              <w:t>Наименование товара</w:t>
            </w:r>
          </w:p>
          <w:p w:rsidR="004D08F0" w:rsidRPr="00C11023" w:rsidRDefault="004D08F0" w:rsidP="00207487">
            <w:pPr>
              <w:ind w:left="34"/>
              <w:jc w:val="center"/>
              <w:rPr>
                <w:color w:val="000000"/>
              </w:rPr>
            </w:pPr>
            <w:r>
              <w:rPr>
                <w:color w:val="000000"/>
              </w:rPr>
              <w:t>З</w:t>
            </w:r>
            <w:r w:rsidRPr="00C11023">
              <w:rPr>
                <w:color w:val="000000"/>
              </w:rPr>
              <w:t>аказчика</w:t>
            </w:r>
          </w:p>
        </w:tc>
        <w:tc>
          <w:tcPr>
            <w:tcW w:w="1560" w:type="dxa"/>
            <w:tcBorders>
              <w:top w:val="single" w:sz="4" w:space="0" w:color="auto"/>
              <w:left w:val="nil"/>
              <w:bottom w:val="single" w:sz="4" w:space="0" w:color="auto"/>
              <w:right w:val="single" w:sz="4" w:space="0" w:color="auto"/>
            </w:tcBorders>
            <w:shd w:val="clear" w:color="auto" w:fill="auto"/>
            <w:hideMark/>
          </w:tcPr>
          <w:p w:rsidR="004D08F0" w:rsidRPr="00C11023" w:rsidRDefault="004D08F0" w:rsidP="00207487">
            <w:pPr>
              <w:ind w:firstLine="9"/>
              <w:jc w:val="center"/>
              <w:rPr>
                <w:color w:val="000000"/>
              </w:rPr>
            </w:pPr>
            <w:r w:rsidRPr="00C11023">
              <w:rPr>
                <w:rFonts w:eastAsia="Calibri"/>
                <w:kern w:val="0"/>
              </w:rPr>
              <w:t>Тип, марка</w:t>
            </w:r>
          </w:p>
        </w:tc>
        <w:tc>
          <w:tcPr>
            <w:tcW w:w="1405" w:type="dxa"/>
            <w:tcBorders>
              <w:top w:val="single" w:sz="4" w:space="0" w:color="auto"/>
              <w:left w:val="nil"/>
              <w:bottom w:val="single" w:sz="4" w:space="0" w:color="auto"/>
              <w:right w:val="single" w:sz="4" w:space="0" w:color="auto"/>
            </w:tcBorders>
            <w:shd w:val="clear" w:color="auto" w:fill="auto"/>
            <w:hideMark/>
          </w:tcPr>
          <w:p w:rsidR="004D08F0" w:rsidRPr="00C11023" w:rsidRDefault="004D08F0" w:rsidP="00207487">
            <w:pPr>
              <w:ind w:firstLine="9"/>
              <w:jc w:val="center"/>
              <w:rPr>
                <w:color w:val="000000"/>
              </w:rPr>
            </w:pPr>
            <w:r w:rsidRPr="00C11023">
              <w:rPr>
                <w:rFonts w:eastAsia="Calibri"/>
                <w:kern w:val="0"/>
              </w:rPr>
              <w:t>Кол-во, шт.</w:t>
            </w:r>
          </w:p>
        </w:tc>
      </w:tr>
      <w:tr w:rsidR="004D08F0" w:rsidRPr="00622A04" w:rsidTr="0020748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D08F0" w:rsidRPr="00622A04" w:rsidRDefault="004D08F0" w:rsidP="00207487">
            <w:pPr>
              <w:ind w:left="-584" w:firstLine="567"/>
              <w:jc w:val="center"/>
              <w:rPr>
                <w:color w:val="000000"/>
              </w:rPr>
            </w:pPr>
            <w:r w:rsidRPr="00622A04">
              <w:rPr>
                <w:color w:val="000000"/>
              </w:rPr>
              <w:t>1</w:t>
            </w:r>
          </w:p>
        </w:tc>
        <w:tc>
          <w:tcPr>
            <w:tcW w:w="6691" w:type="dxa"/>
            <w:tcBorders>
              <w:top w:val="nil"/>
              <w:left w:val="nil"/>
              <w:bottom w:val="single" w:sz="4" w:space="0" w:color="auto"/>
              <w:right w:val="single" w:sz="4" w:space="0" w:color="auto"/>
            </w:tcBorders>
            <w:shd w:val="clear" w:color="auto" w:fill="auto"/>
            <w:vAlign w:val="center"/>
            <w:hideMark/>
          </w:tcPr>
          <w:p w:rsidR="004D08F0" w:rsidRPr="00622A04" w:rsidRDefault="004D08F0" w:rsidP="00207487">
            <w:pPr>
              <w:ind w:left="34"/>
              <w:jc w:val="center"/>
              <w:rPr>
                <w:color w:val="000000"/>
              </w:rPr>
            </w:pPr>
            <w:r w:rsidRPr="00622A04">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4D08F0" w:rsidRPr="00622A04" w:rsidRDefault="004D08F0" w:rsidP="00207487">
            <w:pPr>
              <w:ind w:firstLine="9"/>
              <w:jc w:val="center"/>
              <w:rPr>
                <w:color w:val="000000"/>
              </w:rPr>
            </w:pPr>
            <w:r w:rsidRPr="00622A04">
              <w:rPr>
                <w:color w:val="000000"/>
              </w:rPr>
              <w:t>3</w:t>
            </w:r>
          </w:p>
        </w:tc>
        <w:tc>
          <w:tcPr>
            <w:tcW w:w="1405" w:type="dxa"/>
            <w:tcBorders>
              <w:top w:val="nil"/>
              <w:left w:val="nil"/>
              <w:bottom w:val="single" w:sz="4" w:space="0" w:color="auto"/>
              <w:right w:val="single" w:sz="4" w:space="0" w:color="auto"/>
            </w:tcBorders>
            <w:shd w:val="clear" w:color="auto" w:fill="auto"/>
            <w:vAlign w:val="center"/>
            <w:hideMark/>
          </w:tcPr>
          <w:p w:rsidR="004D08F0" w:rsidRPr="00622A04" w:rsidRDefault="004D08F0" w:rsidP="00207487">
            <w:pPr>
              <w:ind w:firstLine="9"/>
              <w:jc w:val="center"/>
              <w:rPr>
                <w:color w:val="000000"/>
              </w:rPr>
            </w:pPr>
            <w:r w:rsidRPr="00622A04">
              <w:rPr>
                <w:color w:val="000000"/>
              </w:rPr>
              <w:t>4</w:t>
            </w:r>
          </w:p>
        </w:tc>
      </w:tr>
      <w:tr w:rsidR="004D08F0" w:rsidRPr="00622A04" w:rsidTr="00207487">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1</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r w:rsidRPr="00622A04">
              <w:t>Контроллер СКД</w:t>
            </w:r>
          </w:p>
        </w:tc>
        <w:tc>
          <w:tcPr>
            <w:tcW w:w="1560"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С-2000-2</w:t>
            </w: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35</w:t>
            </w:r>
          </w:p>
        </w:tc>
      </w:tr>
      <w:tr w:rsidR="004D08F0" w:rsidRPr="00622A04" w:rsidTr="00207487">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2</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pPr>
              <w:rPr>
                <w:lang w:val="en-US"/>
              </w:rPr>
            </w:pPr>
            <w:r w:rsidRPr="00622A04">
              <w:t xml:space="preserve">Считыватель бесконтактный </w:t>
            </w:r>
            <w:r w:rsidRPr="00622A04">
              <w:rPr>
                <w:lang w:val="en-US"/>
              </w:rPr>
              <w:t>Proximity</w:t>
            </w:r>
          </w:p>
        </w:tc>
        <w:tc>
          <w:tcPr>
            <w:tcW w:w="1560" w:type="dxa"/>
            <w:tcBorders>
              <w:top w:val="nil"/>
              <w:left w:val="nil"/>
              <w:bottom w:val="single" w:sz="4" w:space="0" w:color="auto"/>
              <w:right w:val="single" w:sz="4" w:space="0" w:color="auto"/>
            </w:tcBorders>
            <w:shd w:val="clear" w:color="auto" w:fill="auto"/>
          </w:tcPr>
          <w:p w:rsidR="004D08F0" w:rsidRPr="00622A04" w:rsidRDefault="004D08F0" w:rsidP="00207487">
            <w:pPr>
              <w:jc w:val="center"/>
              <w:rPr>
                <w:lang w:val="en-US"/>
              </w:rPr>
            </w:pPr>
            <w:r w:rsidRPr="00622A04">
              <w:rPr>
                <w:lang w:val="en-US"/>
              </w:rPr>
              <w:t>Matrix-2</w:t>
            </w: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70</w:t>
            </w:r>
          </w:p>
        </w:tc>
      </w:tr>
      <w:tr w:rsidR="004D08F0" w:rsidRPr="00622A04" w:rsidTr="00207487">
        <w:trPr>
          <w:trHeight w:val="5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3</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r w:rsidRPr="00622A04">
              <w:t xml:space="preserve">Считыватель бесконтактный настольный </w:t>
            </w:r>
            <w:r w:rsidRPr="00622A04">
              <w:rPr>
                <w:lang w:val="en-US"/>
              </w:rPr>
              <w:t>Proximity</w:t>
            </w:r>
          </w:p>
        </w:tc>
        <w:tc>
          <w:tcPr>
            <w:tcW w:w="1560" w:type="dxa"/>
            <w:tcBorders>
              <w:top w:val="nil"/>
              <w:left w:val="nil"/>
              <w:bottom w:val="single" w:sz="4" w:space="0" w:color="auto"/>
              <w:right w:val="single" w:sz="4" w:space="0" w:color="auto"/>
            </w:tcBorders>
            <w:shd w:val="clear" w:color="auto" w:fill="auto"/>
          </w:tcPr>
          <w:p w:rsidR="004D08F0" w:rsidRPr="00622A04" w:rsidRDefault="004D08F0" w:rsidP="00207487">
            <w:pPr>
              <w:jc w:val="center"/>
              <w:rPr>
                <w:lang w:val="en-US"/>
              </w:rPr>
            </w:pPr>
            <w:r w:rsidRPr="00622A04">
              <w:rPr>
                <w:lang w:val="en-US"/>
              </w:rPr>
              <w:t>Proxy-USB-MA</w:t>
            </w: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1</w:t>
            </w:r>
          </w:p>
        </w:tc>
      </w:tr>
      <w:tr w:rsidR="004D08F0" w:rsidRPr="00622A04" w:rsidTr="00207487">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4</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r w:rsidRPr="00622A04">
              <w:t>Резервный источник питания с АКБ</w:t>
            </w:r>
          </w:p>
        </w:tc>
        <w:tc>
          <w:tcPr>
            <w:tcW w:w="1560"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РИП-12 исп.01</w:t>
            </w: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35</w:t>
            </w:r>
          </w:p>
        </w:tc>
      </w:tr>
      <w:tr w:rsidR="004D08F0" w:rsidRPr="00622A04" w:rsidTr="00207487">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5</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r w:rsidRPr="00622A04">
              <w:t>Замок электромагнитный</w:t>
            </w:r>
          </w:p>
        </w:tc>
        <w:tc>
          <w:tcPr>
            <w:tcW w:w="1560"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rPr>
                <w:lang w:val="en-US"/>
              </w:rPr>
              <w:t>ML-250</w:t>
            </w: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35</w:t>
            </w:r>
          </w:p>
        </w:tc>
      </w:tr>
      <w:tr w:rsidR="004D08F0" w:rsidRPr="00622A04" w:rsidTr="00207487">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6</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r w:rsidRPr="00622A04">
              <w:t>Доводчик дверной</w:t>
            </w:r>
          </w:p>
        </w:tc>
        <w:tc>
          <w:tcPr>
            <w:tcW w:w="1560"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rPr>
                <w:lang w:val="en-US"/>
              </w:rPr>
              <w:t>KDC</w:t>
            </w:r>
            <w:r w:rsidRPr="00622A04">
              <w:t>-740</w:t>
            </w: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35</w:t>
            </w:r>
          </w:p>
        </w:tc>
      </w:tr>
      <w:tr w:rsidR="004D08F0" w:rsidRPr="00622A04" w:rsidTr="00207487">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D08F0" w:rsidRPr="00622A04" w:rsidRDefault="004D08F0" w:rsidP="00207487">
            <w:pPr>
              <w:ind w:left="-584" w:firstLine="567"/>
              <w:jc w:val="center"/>
              <w:rPr>
                <w:color w:val="000000"/>
              </w:rPr>
            </w:pPr>
            <w:r w:rsidRPr="00622A04">
              <w:rPr>
                <w:color w:val="000000"/>
              </w:rPr>
              <w:t>7</w:t>
            </w:r>
          </w:p>
        </w:tc>
        <w:tc>
          <w:tcPr>
            <w:tcW w:w="6691" w:type="dxa"/>
            <w:tcBorders>
              <w:top w:val="nil"/>
              <w:left w:val="nil"/>
              <w:bottom w:val="single" w:sz="4" w:space="0" w:color="auto"/>
              <w:right w:val="single" w:sz="4" w:space="0" w:color="auto"/>
            </w:tcBorders>
            <w:shd w:val="clear" w:color="auto" w:fill="auto"/>
          </w:tcPr>
          <w:p w:rsidR="004D08F0" w:rsidRPr="00622A04" w:rsidRDefault="004D08F0" w:rsidP="00207487">
            <w:r w:rsidRPr="00622A04">
              <w:t xml:space="preserve">Комплекс инструментов управления и мониторинга на базе АРМ ОРИОН </w:t>
            </w:r>
            <w:proofErr w:type="gramStart"/>
            <w:r w:rsidRPr="00622A04">
              <w:t>ПРО</w:t>
            </w:r>
            <w:proofErr w:type="gramEnd"/>
          </w:p>
        </w:tc>
        <w:tc>
          <w:tcPr>
            <w:tcW w:w="1560" w:type="dxa"/>
            <w:tcBorders>
              <w:top w:val="nil"/>
              <w:left w:val="nil"/>
              <w:bottom w:val="single" w:sz="4" w:space="0" w:color="auto"/>
              <w:right w:val="single" w:sz="4" w:space="0" w:color="auto"/>
            </w:tcBorders>
            <w:shd w:val="clear" w:color="auto" w:fill="auto"/>
            <w:vAlign w:val="center"/>
          </w:tcPr>
          <w:p w:rsidR="004D08F0" w:rsidRPr="00622A04" w:rsidRDefault="004D08F0" w:rsidP="00207487">
            <w:pPr>
              <w:ind w:firstLine="9"/>
              <w:jc w:val="center"/>
              <w:rPr>
                <w:color w:val="000000"/>
              </w:rPr>
            </w:pPr>
          </w:p>
        </w:tc>
        <w:tc>
          <w:tcPr>
            <w:tcW w:w="1405" w:type="dxa"/>
            <w:tcBorders>
              <w:top w:val="nil"/>
              <w:left w:val="nil"/>
              <w:bottom w:val="single" w:sz="4" w:space="0" w:color="auto"/>
              <w:right w:val="single" w:sz="4" w:space="0" w:color="auto"/>
            </w:tcBorders>
            <w:shd w:val="clear" w:color="auto" w:fill="auto"/>
          </w:tcPr>
          <w:p w:rsidR="004D08F0" w:rsidRPr="00622A04" w:rsidRDefault="004D08F0" w:rsidP="00207487">
            <w:pPr>
              <w:jc w:val="center"/>
            </w:pPr>
            <w:r w:rsidRPr="00622A04">
              <w:t>1</w:t>
            </w:r>
          </w:p>
        </w:tc>
      </w:tr>
    </w:tbl>
    <w:p w:rsidR="004D08F0" w:rsidRPr="00B2205F" w:rsidRDefault="004D08F0" w:rsidP="004D08F0">
      <w:pPr>
        <w:rPr>
          <w:b/>
        </w:rPr>
      </w:pPr>
    </w:p>
    <w:p w:rsidR="004D08F0" w:rsidRPr="00B2205F" w:rsidRDefault="004D08F0" w:rsidP="004D08F0">
      <w:pPr>
        <w:autoSpaceDE w:val="0"/>
        <w:autoSpaceDN w:val="0"/>
        <w:adjustRightInd w:val="0"/>
        <w:ind w:firstLine="708"/>
        <w:jc w:val="both"/>
        <w:rPr>
          <w:b/>
          <w:bCs/>
        </w:rPr>
      </w:pPr>
      <w:r>
        <w:rPr>
          <w:b/>
          <w:bCs/>
        </w:rPr>
        <w:t>7</w:t>
      </w:r>
      <w:r w:rsidRPr="00B2205F">
        <w:rPr>
          <w:b/>
          <w:bCs/>
        </w:rPr>
        <w:t>. Особые условия</w:t>
      </w:r>
    </w:p>
    <w:p w:rsidR="004D08F0" w:rsidRPr="00B2205F" w:rsidRDefault="004D08F0" w:rsidP="004D08F0">
      <w:pPr>
        <w:autoSpaceDE w:val="0"/>
        <w:autoSpaceDN w:val="0"/>
        <w:adjustRightInd w:val="0"/>
        <w:ind w:firstLine="567"/>
        <w:jc w:val="both"/>
        <w:rPr>
          <w:bCs/>
        </w:rPr>
      </w:pPr>
      <w:r>
        <w:rPr>
          <w:bCs/>
        </w:rPr>
        <w:t>Оказывает услуги</w:t>
      </w:r>
      <w:r w:rsidRPr="00B2205F">
        <w:rPr>
          <w:bCs/>
        </w:rPr>
        <w:t>, создавая минимум неудо</w:t>
      </w:r>
      <w:proofErr w:type="gramStart"/>
      <w:r w:rsidRPr="00B2205F">
        <w:rPr>
          <w:bCs/>
        </w:rPr>
        <w:t>бств дл</w:t>
      </w:r>
      <w:proofErr w:type="gramEnd"/>
      <w:r w:rsidRPr="00B2205F">
        <w:rPr>
          <w:bCs/>
        </w:rPr>
        <w:t xml:space="preserve">я работы учреждения (возможно проведение некоторых видов работ в вечернее и ночное время, а также в выходные дни). </w:t>
      </w:r>
    </w:p>
    <w:p w:rsidR="004D08F0" w:rsidRDefault="004D08F0" w:rsidP="004D08F0">
      <w:pPr>
        <w:autoSpaceDE w:val="0"/>
        <w:jc w:val="both"/>
      </w:pPr>
      <w:r w:rsidRPr="00B2205F">
        <w:rPr>
          <w:bCs/>
        </w:rPr>
        <w:t>Исполнитель несет ответственность за сохранность всех коммуникаций и оборудования, находящихся в помещениях, где оказываются услуги.</w:t>
      </w:r>
      <w:r>
        <w:t xml:space="preserve"> </w:t>
      </w:r>
    </w:p>
    <w:p w:rsidR="004C75CF" w:rsidRPr="00D56222" w:rsidRDefault="004C75CF" w:rsidP="004D08F0">
      <w:pPr>
        <w:jc w:val="center"/>
      </w:pPr>
      <w:bookmarkStart w:id="0" w:name="_GoBack"/>
      <w:bookmarkEnd w:id="0"/>
    </w:p>
    <w:sectPr w:rsidR="004C75CF" w:rsidRPr="00D56222" w:rsidSect="004D08F0">
      <w:footerReference w:type="even" r:id="rId8"/>
      <w:footerReference w:type="default" r:id="rId9"/>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9E" w:rsidRDefault="00AB4F9E">
      <w:r>
        <w:separator/>
      </w:r>
    </w:p>
  </w:endnote>
  <w:endnote w:type="continuationSeparator" w:id="0">
    <w:p w:rsidR="00AB4F9E" w:rsidRDefault="00A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4D08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9E" w:rsidRDefault="00AB4F9E">
      <w:r>
        <w:separator/>
      </w:r>
    </w:p>
  </w:footnote>
  <w:footnote w:type="continuationSeparator" w:id="0">
    <w:p w:rsidR="00AB4F9E" w:rsidRDefault="00AB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366146"/>
    <w:rsid w:val="003A2D9B"/>
    <w:rsid w:val="004C75CF"/>
    <w:rsid w:val="004D08F0"/>
    <w:rsid w:val="00867FA5"/>
    <w:rsid w:val="00AB4F9E"/>
    <w:rsid w:val="00B95179"/>
    <w:rsid w:val="00C1151D"/>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6</cp:revision>
  <dcterms:created xsi:type="dcterms:W3CDTF">2018-02-13T08:34:00Z</dcterms:created>
  <dcterms:modified xsi:type="dcterms:W3CDTF">2018-03-02T06:05:00Z</dcterms:modified>
</cp:coreProperties>
</file>