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5F" w:rsidRDefault="00F02B5F" w:rsidP="00F02B5F">
      <w:pPr>
        <w:ind w:right="10"/>
        <w:jc w:val="both"/>
      </w:pPr>
      <w:r>
        <w:t xml:space="preserve">Поставщик должен поставлять </w:t>
      </w:r>
      <w:r>
        <w:rPr>
          <w:bCs/>
        </w:rPr>
        <w:t>специальные</w:t>
      </w:r>
      <w:r w:rsidRPr="000B1D6E">
        <w:rPr>
          <w:bCs/>
        </w:rPr>
        <w:t xml:space="preserve"> средств</w:t>
      </w:r>
      <w:r>
        <w:rPr>
          <w:bCs/>
        </w:rPr>
        <w:t>а</w:t>
      </w:r>
      <w:r w:rsidRPr="000B1D6E">
        <w:rPr>
          <w:bCs/>
        </w:rPr>
        <w:t xml:space="preserve"> при нарушениях </w:t>
      </w:r>
      <w:r>
        <w:rPr>
          <w:bCs/>
        </w:rPr>
        <w:t>функций выделения</w:t>
      </w:r>
      <w:r w:rsidRPr="005174E3">
        <w:t xml:space="preserve"> </w:t>
      </w:r>
      <w:r>
        <w:t>(калоприемники)</w:t>
      </w:r>
      <w:r w:rsidRPr="005174E3">
        <w:t xml:space="preserve">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02B5F" w:rsidRDefault="00F02B5F" w:rsidP="00F02B5F">
      <w:pPr>
        <w:autoSpaceDE w:val="0"/>
        <w:autoSpaceDN w:val="0"/>
        <w:adjustRightInd w:val="0"/>
        <w:jc w:val="both"/>
      </w:pPr>
    </w:p>
    <w:p w:rsidR="00F02B5F" w:rsidRPr="00F4518A" w:rsidRDefault="00F02B5F" w:rsidP="00F02B5F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F02B5F" w:rsidRPr="00B92230" w:rsidRDefault="00F02B5F" w:rsidP="00F02B5F">
      <w:pPr>
        <w:jc w:val="both"/>
      </w:pPr>
    </w:p>
    <w:p w:rsidR="00F02B5F" w:rsidRPr="00EC48D5" w:rsidRDefault="00F02B5F" w:rsidP="00F02B5F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F02B5F" w:rsidRDefault="00F02B5F" w:rsidP="00F02B5F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F02B5F" w:rsidRDefault="00F02B5F" w:rsidP="00F02B5F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F02B5F" w:rsidRDefault="00F02B5F" w:rsidP="00F02B5F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F02B5F" w:rsidRDefault="00F02B5F" w:rsidP="00F02B5F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39"/>
        <w:gridCol w:w="1843"/>
        <w:gridCol w:w="2239"/>
        <w:gridCol w:w="992"/>
      </w:tblGrid>
      <w:tr w:rsidR="00F02B5F" w:rsidRPr="006C5BDD" w:rsidTr="004A4EF5">
        <w:trPr>
          <w:trHeight w:val="349"/>
        </w:trPr>
        <w:tc>
          <w:tcPr>
            <w:tcW w:w="2552" w:type="dxa"/>
            <w:shd w:val="clear" w:color="auto" w:fill="auto"/>
          </w:tcPr>
          <w:p w:rsidR="00F02B5F" w:rsidRPr="00B954D9" w:rsidRDefault="00F02B5F" w:rsidP="004A4EF5">
            <w:pPr>
              <w:ind w:left="50" w:hanging="50"/>
              <w:jc w:val="center"/>
            </w:pPr>
            <w:r w:rsidRPr="00B954D9">
              <w:t>Наименование Изделия</w:t>
            </w:r>
          </w:p>
        </w:tc>
        <w:tc>
          <w:tcPr>
            <w:tcW w:w="2439" w:type="dxa"/>
            <w:shd w:val="clear" w:color="auto" w:fill="auto"/>
          </w:tcPr>
          <w:p w:rsidR="00F02B5F" w:rsidRPr="00B954D9" w:rsidRDefault="00F02B5F" w:rsidP="004A4EF5">
            <w:pPr>
              <w:jc w:val="center"/>
            </w:pPr>
            <w:r w:rsidRPr="00B954D9">
              <w:t>Наименование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F02B5F" w:rsidRPr="00B954D9" w:rsidRDefault="00F02B5F" w:rsidP="004A4EF5">
            <w:pPr>
              <w:jc w:val="center"/>
            </w:pPr>
            <w:r w:rsidRPr="00B954D9">
              <w:t>Показатель характеристики</w:t>
            </w:r>
          </w:p>
        </w:tc>
        <w:tc>
          <w:tcPr>
            <w:tcW w:w="2239" w:type="dxa"/>
          </w:tcPr>
          <w:p w:rsidR="00F02B5F" w:rsidRPr="00B954D9" w:rsidRDefault="00F02B5F" w:rsidP="004A4EF5">
            <w:pPr>
              <w:widowControl w:val="0"/>
              <w:suppressAutoHyphens/>
              <w:snapToGrid w:val="0"/>
              <w:jc w:val="center"/>
            </w:pPr>
            <w:r w:rsidRPr="00B954D9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B5F" w:rsidRPr="00B954D9" w:rsidRDefault="00F02B5F" w:rsidP="004A4EF5">
            <w:pPr>
              <w:jc w:val="center"/>
            </w:pPr>
            <w:r w:rsidRPr="00B954D9">
              <w:t>Количество (шт.)</w:t>
            </w: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pStyle w:val="a6"/>
              <w:suppressAutoHyphens/>
              <w:ind w:left="0"/>
            </w:pPr>
            <w:r w:rsidRPr="00FC0213">
              <w:t xml:space="preserve">1. Однокомпонентный дренируемый калоприёмник со встроенной плоской пластиной  </w:t>
            </w: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Дренируемый илеостомный мешок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>
              <w:t>42000</w:t>
            </w: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suppressAutoHyphens/>
              <w:jc w:val="center"/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F02B5F" w:rsidRPr="00FC0213" w:rsidRDefault="00F02B5F" w:rsidP="004A4EF5">
            <w:pPr>
              <w:suppressAutoHyphens/>
              <w:jc w:val="center"/>
            </w:pPr>
            <w:r w:rsidRPr="00FC0213">
              <w:t xml:space="preserve">Для улучшения качества жизни получателя, мешок должен не протекать и не пропускать запах. 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F02B5F" w:rsidRPr="00FC0213" w:rsidRDefault="00F02B5F" w:rsidP="004A4EF5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985ED6" w:rsidRDefault="00F02B5F" w:rsidP="004A4EF5">
            <w:pPr>
              <w:suppressAutoHyphens/>
              <w:jc w:val="center"/>
              <w:rPr>
                <w:lang w:eastAsia="ar-SA"/>
              </w:rPr>
            </w:pPr>
            <w:r w:rsidRPr="00985ED6">
              <w:rPr>
                <w:lang w:eastAsia="ar-SA"/>
              </w:rPr>
              <w:t xml:space="preserve">Приказ Министерства </w:t>
            </w:r>
            <w:r w:rsidRPr="00985ED6">
              <w:rPr>
                <w:lang w:eastAsia="ar-SA"/>
              </w:rPr>
              <w:lastRenderedPageBreak/>
              <w:t xml:space="preserve">труда и социальной защиты РФ от </w:t>
            </w:r>
          </w:p>
          <w:p w:rsidR="00F02B5F" w:rsidRPr="00985ED6" w:rsidRDefault="00F02B5F" w:rsidP="004A4EF5">
            <w:pPr>
              <w:suppressAutoHyphens/>
              <w:jc w:val="center"/>
            </w:pPr>
            <w:r w:rsidRPr="00985ED6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6C5BDD" w:rsidRDefault="00F02B5F" w:rsidP="004A4EF5">
            <w:pPr>
              <w:widowControl w:val="0"/>
              <w:suppressAutoHyphens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985ED6" w:rsidRDefault="00F02B5F" w:rsidP="004A4EF5">
            <w:r w:rsidRPr="00985ED6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F02B5F" w:rsidRPr="00985ED6" w:rsidRDefault="00F02B5F" w:rsidP="004A4EF5">
            <w:pPr>
              <w:jc w:val="center"/>
            </w:pPr>
            <w:r w:rsidRPr="00985ED6">
              <w:t>наличие</w:t>
            </w:r>
          </w:p>
        </w:tc>
        <w:tc>
          <w:tcPr>
            <w:tcW w:w="2239" w:type="dxa"/>
          </w:tcPr>
          <w:p w:rsidR="00F02B5F" w:rsidRPr="00985ED6" w:rsidRDefault="00F02B5F" w:rsidP="004A4EF5">
            <w:pPr>
              <w:suppressAutoHyphens/>
              <w:jc w:val="center"/>
            </w:pPr>
            <w:r w:rsidRPr="00985ED6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Максимальный размер вырезаемого отверстия адгезивной пластины не менее 65х75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2</w:t>
            </w:r>
            <w:r w:rsidRPr="00FC0213">
              <w:rPr>
                <w:bCs/>
              </w:rPr>
              <w:t xml:space="preserve">. </w:t>
            </w:r>
            <w:r w:rsidRPr="00FC0213">
              <w:t xml:space="preserve">Однокомпонентный дренируемый калоприёмник со встроенной плоской пластиной </w:t>
            </w: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Дренируемый илеостомный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>
              <w:t>2100</w:t>
            </w: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F02B5F" w:rsidRPr="00FC0213" w:rsidRDefault="00F02B5F" w:rsidP="004A4EF5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F02B5F" w:rsidRPr="00FC0213" w:rsidRDefault="00F02B5F" w:rsidP="004A4EF5">
            <w:pPr>
              <w:jc w:val="center"/>
            </w:pPr>
            <w:r w:rsidRPr="00FC0213"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F02B5F" w:rsidRPr="00FC0213" w:rsidRDefault="00F02B5F" w:rsidP="004A4E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Основа адгезивной пластины: двухслойная,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F02B5F" w:rsidRPr="00FC0213" w:rsidRDefault="00F02B5F" w:rsidP="004A4EF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Шаблон для вырезания отверстия под стому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 xml:space="preserve">Максимальный диаметр вырезаемого отверстия адгезивной пластины 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 w:rsidRPr="00FC0213">
              <w:t>не менее 76 мм (включительно)</w:t>
            </w:r>
          </w:p>
        </w:tc>
        <w:tc>
          <w:tcPr>
            <w:tcW w:w="2239" w:type="dxa"/>
          </w:tcPr>
          <w:p w:rsidR="00F02B5F" w:rsidRPr="00732BE0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32BE0">
              <w:rPr>
                <w:lang w:eastAsia="ar-SA"/>
              </w:rPr>
              <w:t>Индивидуальные потребности получателя</w:t>
            </w:r>
          </w:p>
          <w:p w:rsidR="00F02B5F" w:rsidRPr="00732BE0" w:rsidRDefault="00F02B5F" w:rsidP="004A4EF5">
            <w:pPr>
              <w:suppressAutoHyphens/>
              <w:jc w:val="center"/>
            </w:pPr>
            <w:r w:rsidRPr="00732BE0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</w:pPr>
            <w:r>
              <w:t>3</w:t>
            </w:r>
            <w:r w:rsidRPr="00FC0213">
              <w:t>. Однокомпонентный</w:t>
            </w:r>
          </w:p>
          <w:p w:rsidR="00F02B5F" w:rsidRPr="00FC0213" w:rsidRDefault="00F02B5F" w:rsidP="004A4EF5">
            <w:pPr>
              <w:suppressAutoHyphens/>
            </w:pPr>
            <w:r w:rsidRPr="00FC0213">
              <w:t>недренируемый калоприёмник со встроенной плоской пластиной</w:t>
            </w:r>
          </w:p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Недренируемый колостомный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>
              <w:t>9000</w:t>
            </w: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F02B5F" w:rsidRPr="00FC0213" w:rsidRDefault="00F02B5F" w:rsidP="004A4EF5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F02B5F" w:rsidRPr="00FC0213" w:rsidRDefault="00F02B5F" w:rsidP="004A4EF5">
            <w:pPr>
              <w:jc w:val="center"/>
            </w:pPr>
            <w:r w:rsidRPr="00FC0213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napToGrid w:val="0"/>
              <w:spacing w:line="240" w:lineRule="atLeast"/>
              <w:rPr>
                <w:lang w:eastAsia="ar-SA"/>
              </w:rPr>
            </w:pPr>
            <w:r w:rsidRPr="00FC0213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 xml:space="preserve">Основа адгезивной пластины: </w:t>
            </w:r>
            <w:r w:rsidRPr="00FC0213">
              <w:lastRenderedPageBreak/>
              <w:t>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lastRenderedPageBreak/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Два адгезива на клеевом слое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t>Защита кожи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Максимальный размер вырезаемого</w:t>
            </w:r>
            <w:r>
              <w:t xml:space="preserve"> отверстия адгезивной пластины </w:t>
            </w:r>
            <w:r w:rsidRPr="00FC0213">
              <w:t>не менее 65х75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pStyle w:val="Standard"/>
              <w:spacing w:line="240" w:lineRule="atLeast"/>
            </w:pPr>
            <w:r>
              <w:t>4</w:t>
            </w:r>
            <w:r w:rsidRPr="00FC0213">
              <w:t>. Однокомпонентный</w:t>
            </w:r>
          </w:p>
          <w:p w:rsidR="00F02B5F" w:rsidRPr="00FC0213" w:rsidRDefault="00F02B5F" w:rsidP="004A4EF5">
            <w:pPr>
              <w:suppressAutoHyphens/>
            </w:pPr>
            <w:r w:rsidRPr="00FC0213">
              <w:t>недренируемый калоприёмник со встроенной плоской пластиной</w:t>
            </w:r>
          </w:p>
          <w:p w:rsidR="00F02B5F" w:rsidRPr="00FC0213" w:rsidRDefault="00F02B5F" w:rsidP="004A4EF5">
            <w:pPr>
              <w:suppressAutoHyphens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Недренируемый колостомный мешок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F02B5F" w:rsidRPr="00FC0213" w:rsidRDefault="00F02B5F" w:rsidP="004A4EF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>
              <w:t>900</w:t>
            </w: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r w:rsidRPr="00FC0213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F02B5F" w:rsidRPr="00FC0213" w:rsidRDefault="00F02B5F" w:rsidP="004A4EF5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F02B5F" w:rsidRPr="00FC0213" w:rsidRDefault="00F02B5F" w:rsidP="004A4EF5">
            <w:pPr>
              <w:jc w:val="center"/>
            </w:pPr>
            <w:r w:rsidRPr="00FC0213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napToGrid w:val="0"/>
              <w:spacing w:line="240" w:lineRule="atLeast"/>
              <w:rPr>
                <w:lang w:eastAsia="ar-SA"/>
              </w:rPr>
            </w:pPr>
            <w:r w:rsidRPr="00FC0213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Основа адгезивной пластины: двухслойная, гипоаллергенная, гидроколлоидная.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F02B5F" w:rsidRPr="00FC0213" w:rsidRDefault="00F02B5F" w:rsidP="004A4EF5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F02B5F" w:rsidRPr="00FC0213" w:rsidRDefault="00F02B5F" w:rsidP="004A4EF5">
            <w:pPr>
              <w:spacing w:line="240" w:lineRule="atLeast"/>
            </w:pPr>
            <w:r w:rsidRPr="00FC0213">
              <w:t>Максимальный размер вырезаемого</w:t>
            </w:r>
            <w:r>
              <w:t xml:space="preserve"> отверстия адгезивной пластины </w:t>
            </w:r>
            <w:r w:rsidRPr="00FC0213">
              <w:t>не менее 10х76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F02B5F" w:rsidRPr="00FC0213" w:rsidRDefault="00F02B5F" w:rsidP="004A4EF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F02B5F" w:rsidRPr="00FC0213" w:rsidRDefault="00F02B5F" w:rsidP="004A4EF5">
            <w:pPr>
              <w:suppressAutoHyphens/>
              <w:jc w:val="center"/>
            </w:pPr>
            <w:r w:rsidRPr="00FC0213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F02B5F" w:rsidRPr="00FC0213" w:rsidRDefault="00F02B5F" w:rsidP="004A4EF5">
            <w:pPr>
              <w:jc w:val="center"/>
            </w:pPr>
          </w:p>
        </w:tc>
      </w:tr>
      <w:tr w:rsidR="00F02B5F" w:rsidRPr="00FC0213" w:rsidTr="004A4EF5">
        <w:trPr>
          <w:trHeight w:val="349"/>
        </w:trPr>
        <w:tc>
          <w:tcPr>
            <w:tcW w:w="9073" w:type="dxa"/>
            <w:gridSpan w:val="4"/>
            <w:shd w:val="clear" w:color="auto" w:fill="auto"/>
          </w:tcPr>
          <w:p w:rsidR="00F02B5F" w:rsidRPr="00FC0213" w:rsidRDefault="00F02B5F" w:rsidP="004A4EF5">
            <w:pPr>
              <w:widowControl w:val="0"/>
              <w:suppressAutoHyphens/>
              <w:snapToGrid w:val="0"/>
              <w:jc w:val="right"/>
            </w:pPr>
            <w:r w:rsidRPr="00FC0213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02B5F" w:rsidRPr="00FC0213" w:rsidRDefault="00F02B5F" w:rsidP="004A4EF5">
            <w:pPr>
              <w:jc w:val="center"/>
            </w:pPr>
            <w:r>
              <w:t>54000</w:t>
            </w:r>
          </w:p>
        </w:tc>
      </w:tr>
    </w:tbl>
    <w:p w:rsidR="00F02B5F" w:rsidRDefault="00F02B5F" w:rsidP="00F02B5F">
      <w:pPr>
        <w:jc w:val="both"/>
      </w:pPr>
    </w:p>
    <w:p w:rsidR="00F02B5F" w:rsidRDefault="00F02B5F" w:rsidP="00F02B5F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F02B5F" w:rsidRDefault="00F02B5F" w:rsidP="00F02B5F">
      <w:pPr>
        <w:jc w:val="both"/>
      </w:pPr>
    </w:p>
    <w:p w:rsidR="00F02B5F" w:rsidRPr="00612097" w:rsidRDefault="00F02B5F" w:rsidP="00F02B5F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F02B5F" w:rsidRDefault="00F02B5F" w:rsidP="00F02B5F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F02B5F" w:rsidRDefault="00F02B5F" w:rsidP="00F02B5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F02B5F" w:rsidRDefault="00F02B5F" w:rsidP="00F02B5F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F02B5F" w:rsidRDefault="00F02B5F" w:rsidP="00F02B5F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F02B5F" w:rsidRDefault="00F02B5F" w:rsidP="00F02B5F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F02B5F" w:rsidRDefault="00F02B5F" w:rsidP="00F02B5F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F02B5F" w:rsidRDefault="00F02B5F" w:rsidP="00F02B5F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02B5F" w:rsidRDefault="00F02B5F" w:rsidP="00F02B5F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F02B5F" w:rsidRDefault="00F02B5F" w:rsidP="00F02B5F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F02B5F" w:rsidRDefault="00F02B5F" w:rsidP="00F02B5F">
      <w:pPr>
        <w:jc w:val="both"/>
      </w:pPr>
      <w:r>
        <w:lastRenderedPageBreak/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F02B5F" w:rsidRDefault="00F02B5F" w:rsidP="00F02B5F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F02B5F" w:rsidRPr="0014478F" w:rsidRDefault="00F02B5F" w:rsidP="00F02B5F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F02B5F" w:rsidRDefault="00F02B5F" w:rsidP="00F02B5F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F02B5F" w:rsidRDefault="00F02B5F" w:rsidP="00F02B5F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 подобранных врачом - колопроктологом или врачом-онкологом по размерам Получателей, в зависимости от вида имеющейся патологии, функциональных нарушений и особенностей течения заболевания, вида, формы и размера стомы, состояния кожи вокруг неё. </w:t>
      </w:r>
    </w:p>
    <w:p w:rsidR="00F02B5F" w:rsidRDefault="00F02B5F" w:rsidP="00F02B5F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F02B5F" w:rsidRDefault="00F02B5F" w:rsidP="00F02B5F"/>
    <w:p w:rsidR="00F02B5F" w:rsidRPr="00612097" w:rsidRDefault="00F02B5F" w:rsidP="00F02B5F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F02B5F" w:rsidRDefault="00F02B5F" w:rsidP="00F02B5F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F02B5F" w:rsidRDefault="00F02B5F" w:rsidP="00F02B5F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F02B5F" w:rsidRDefault="00F02B5F" w:rsidP="00F02B5F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F02B5F" w:rsidRPr="0014478F" w:rsidRDefault="00F02B5F" w:rsidP="00F02B5F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F02B5F" w:rsidRDefault="00F02B5F" w:rsidP="00F02B5F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F02B5F" w:rsidRDefault="00F02B5F" w:rsidP="00F02B5F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F02B5F" w:rsidRPr="0014478F" w:rsidRDefault="00F02B5F" w:rsidP="00F02B5F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F02B5F" w:rsidRPr="0014478F" w:rsidRDefault="00F02B5F" w:rsidP="00F02B5F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F02B5F" w:rsidRPr="0014478F" w:rsidRDefault="00F02B5F" w:rsidP="00F02B5F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F02B5F" w:rsidRDefault="00F02B5F" w:rsidP="00F02B5F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F02B5F" w:rsidRPr="0014478F" w:rsidRDefault="00F02B5F" w:rsidP="00F02B5F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</w:t>
      </w:r>
      <w:r w:rsidRPr="0014478F">
        <w:lastRenderedPageBreak/>
        <w:t>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F02B5F" w:rsidRDefault="00F02B5F" w:rsidP="00F02B5F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F02B5F" w:rsidRDefault="00F02B5F" w:rsidP="00F02B5F">
      <w:pPr>
        <w:jc w:val="both"/>
      </w:pPr>
    </w:p>
    <w:p w:rsidR="00F02B5F" w:rsidRDefault="00F02B5F" w:rsidP="00F02B5F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F02B5F" w:rsidRDefault="00F02B5F" w:rsidP="00F02B5F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F02B5F" w:rsidRDefault="00F02B5F" w:rsidP="00F02B5F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Поставщик должен 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F02B5F" w:rsidRDefault="00F02B5F" w:rsidP="00F02B5F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F02B5F" w:rsidRDefault="00F02B5F" w:rsidP="00F02B5F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506139" w:rsidRDefault="00506139">
      <w:bookmarkStart w:id="0" w:name="_GoBack"/>
      <w:bookmarkEnd w:id="0"/>
    </w:p>
    <w:sectPr w:rsidR="00506139" w:rsidSect="00F02B5F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85" w:rsidRDefault="00A95A85" w:rsidP="00F02B5F">
      <w:r>
        <w:separator/>
      </w:r>
    </w:p>
  </w:endnote>
  <w:endnote w:type="continuationSeparator" w:id="0">
    <w:p w:rsidR="00A95A85" w:rsidRDefault="00A95A85" w:rsidP="00F0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85" w:rsidRDefault="00A95A85" w:rsidP="00F02B5F">
      <w:r>
        <w:separator/>
      </w:r>
    </w:p>
  </w:footnote>
  <w:footnote w:type="continuationSeparator" w:id="0">
    <w:p w:rsidR="00A95A85" w:rsidRDefault="00A95A85" w:rsidP="00F02B5F">
      <w:r>
        <w:continuationSeparator/>
      </w:r>
    </w:p>
  </w:footnote>
  <w:footnote w:id="1">
    <w:p w:rsidR="00F02B5F" w:rsidRPr="004D2FEC" w:rsidRDefault="00F02B5F" w:rsidP="00F02B5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02B5F" w:rsidRDefault="00F02B5F" w:rsidP="00F02B5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63"/>
    <w:rsid w:val="00327963"/>
    <w:rsid w:val="00506139"/>
    <w:rsid w:val="00A95A85"/>
    <w:rsid w:val="00F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17A0-1106-4BEC-AC74-24B62A96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B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footnote text"/>
    <w:basedOn w:val="a"/>
    <w:link w:val="a4"/>
    <w:semiHidden/>
    <w:rsid w:val="00F02B5F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2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2B5F"/>
    <w:rPr>
      <w:vertAlign w:val="superscript"/>
    </w:rPr>
  </w:style>
  <w:style w:type="paragraph" w:styleId="a6">
    <w:name w:val="List Paragraph"/>
    <w:basedOn w:val="a"/>
    <w:uiPriority w:val="34"/>
    <w:qFormat/>
    <w:rsid w:val="00F02B5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2018-10-17T12:32:00Z</dcterms:created>
  <dcterms:modified xsi:type="dcterms:W3CDTF">2018-10-17T12:34:00Z</dcterms:modified>
</cp:coreProperties>
</file>