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5" w:rsidRPr="001B2715" w:rsidRDefault="001B2715" w:rsidP="001B27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1B2715" w:rsidRPr="001B2715" w:rsidRDefault="001B2715" w:rsidP="001B271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27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B2715" w:rsidRPr="001B2715" w:rsidRDefault="001B2715" w:rsidP="001B27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работ по обеспечению изделиями включает прием заказов, изготовление, примерку, подгонку, обучение пользованию и выдачу изделия инвалиду в целях   реабилитации, компенсации утраченных функций организма и неустранимых анатомических дефектов и деформаций.                   </w:t>
      </w:r>
    </w:p>
    <w:p w:rsidR="001B2715" w:rsidRPr="001B2715" w:rsidRDefault="00847D56" w:rsidP="00847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Протез </w:t>
      </w:r>
      <w:r w:rsidR="001B2715"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должен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 w:rsidR="001B2715"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медико-социальные</w:t>
      </w:r>
      <w:proofErr w:type="gramEnd"/>
      <w:r w:rsidR="001B2715"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аспекты.  </w:t>
      </w:r>
    </w:p>
    <w:p w:rsidR="001B2715" w:rsidRPr="001B2715" w:rsidRDefault="001B2715" w:rsidP="001B271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1B27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Протезы изготавливаются</w:t>
      </w:r>
      <w:r w:rsidRPr="001B27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1B27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соответствии с ГОСТ Р 53869-2010 «Протезы нижних конечностей. Технические требования», в следующей части:</w:t>
      </w:r>
    </w:p>
    <w:p w:rsidR="001B2715" w:rsidRPr="001B2715" w:rsidRDefault="001B2715" w:rsidP="001B2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«5.2 Протез должен соответствовать данным бланка заказа по узлам, материалам, размерам и схеме построения изделия»</w:t>
      </w:r>
    </w:p>
    <w:p w:rsidR="001B2715" w:rsidRPr="001B2715" w:rsidRDefault="001B2715" w:rsidP="001B27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«5.4 Протез следует собирать из узлов, соответствующих требованиям </w:t>
      </w:r>
      <w:hyperlink r:id="rId5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Р 51191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учетом предельной массы тела и активности пользователя.»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а) возможность находиться пользователю в следующих основных положениях: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- стояния,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- сидения,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- приседания;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б) возможность ходьбы: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- по ровной поверхности в произвольном темпе,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- ровной поверхности в ускоренном темпе,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- наклонной поверхности в сагиттальном направлении вверх и вниз,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- лестнице вверх и вниз,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- пересеченной местности;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в) возможность перемещения в стороны приставным шагом.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состояния.»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«8.1.4.1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br/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8.1.4.2 Внутренняя поверхность жестких приемных гильз может быть смягчена:</w:t>
      </w: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- приклеенной подкладкой из </w:t>
      </w:r>
      <w:proofErr w:type="spellStart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облямовочной</w:t>
      </w:r>
      <w:proofErr w:type="spellEnd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юфти по </w:t>
      </w:r>
      <w:hyperlink r:id="rId6" w:history="1">
        <w:r w:rsidRPr="001B271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ГОСТ 1904</w:t>
        </w:r>
      </w:hyperlink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 xml:space="preserve">8.1.4.3 Внутренняя поверхность кожаных приемных гильз может быть выклеена подкладкой из </w:t>
      </w:r>
      <w:proofErr w:type="spellStart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облямовочной</w:t>
      </w:r>
      <w:proofErr w:type="spellEnd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юфти по </w:t>
      </w:r>
      <w:hyperlink r:id="rId7" w:history="1">
        <w:r w:rsidRPr="001B271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ГОСТ 1904</w:t>
        </w:r>
      </w:hyperlink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8.1.4.4 На внутренней поверхности гильз не должно быть неровностей, морщин, складок, </w:t>
      </w:r>
      <w:proofErr w:type="spellStart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заминов</w:t>
      </w:r>
      <w:proofErr w:type="spellEnd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, отслоений смягчающей подкладки.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8.1.4.5 Приемные несущие гильзы могут быть </w:t>
      </w:r>
      <w:proofErr w:type="spellStart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полноконтактными</w:t>
      </w:r>
      <w:proofErr w:type="spellEnd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скелетированными</w:t>
      </w:r>
      <w:proofErr w:type="spellEnd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8.1.4.7 Крепление внешних устройств управления коленными и тазобедренными модулями с замками (в виде </w:t>
      </w:r>
      <w:proofErr w:type="spellStart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тянок</w:t>
      </w:r>
      <w:proofErr w:type="spellEnd"/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, штанг и рычагов) должно быть установлено на гильзах бедра или модуле в местах, доступных для руки пользователя.»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«9.1 Материалы, применяемые при изготовлении протеза, должны соответствовать требованиям </w:t>
      </w:r>
      <w:hyperlink r:id="rId8" w:history="1">
        <w:r w:rsidRPr="001B271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ru-RU"/>
          </w:rPr>
          <w:t>ГОСТ Р ИСО 22523</w:t>
        </w:r>
      </w:hyperlink>
      <w:r w:rsidRPr="001B2715">
        <w:rPr>
          <w:rFonts w:ascii="Times New Roman" w:eastAsia="Calibri" w:hAnsi="Times New Roman" w:cs="Times New Roman"/>
          <w:sz w:val="20"/>
          <w:szCs w:val="20"/>
          <w:lang w:eastAsia="ru-RU"/>
        </w:rPr>
        <w:t>, подраздел 5.1.»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«9.3 Металлические детали протеза должны быть изготовлены из </w:t>
      </w:r>
      <w:proofErr w:type="gramStart"/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коррозионно-стойких</w:t>
      </w:r>
      <w:proofErr w:type="gramEnd"/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материалов или иметь защитные или защитно-декоративные покрытия по </w:t>
      </w:r>
      <w:hyperlink r:id="rId9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9.301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9.4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подформовку</w:t>
      </w:r>
      <w:proofErr w:type="spellEnd"/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9.5 Материалы приемных гильз должны обеспечивать установку заклепочных соединений без образования растрескиваний и разрывов.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9.6 Материалы приемных гильз не должны деформироваться в процессе эксплуатации протеза.»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10.1 В комплект поставки протеза должны входить:</w:t>
      </w:r>
      <w:proofErr w:type="gramStart"/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</w:t>
      </w:r>
      <w:proofErr w:type="gramEnd"/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протез;</w:t>
      </w: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запасные детали и комплектующие узлы, имеющие срок службы, меньший, чем установленный срок службы протеза;</w:t>
      </w: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- специальные инструменты для сборки протеза (допускается комплектовать по договору с пользователем протеза).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10.2 Памятка по обращению с изделием (инструкция по применению) - по </w:t>
      </w:r>
      <w:hyperlink r:id="rId10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2.601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11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ГОСТ </w:t>
        </w:r>
        <w:proofErr w:type="gramStart"/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Р</w:t>
        </w:r>
        <w:proofErr w:type="gramEnd"/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 ИСО 22523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подраздел 13.3, перечисления а), б).</w:t>
      </w: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типа.»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11.1 Маркировка должна соответствовать </w:t>
      </w:r>
      <w:hyperlink r:id="rId12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Р ИСО 22523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подраздел 13.2, с дополнениями, указанными в ТУ на протез конкретного типа.»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12.1 Упаковку ПНК проводят при их выдаче.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12.2 В зависимости от размеров ПНК упаковывают в оберточную бумагу по </w:t>
      </w:r>
      <w:hyperlink r:id="rId13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8273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 потребительскую тару - пакет из полиэтиленовой пленки по </w:t>
      </w:r>
      <w:hyperlink r:id="rId14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10354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коробку из картона по </w:t>
      </w:r>
      <w:hyperlink r:id="rId15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7933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и/или в чехол из хлопчатобумажной ткани по </w:t>
      </w:r>
      <w:hyperlink r:id="rId16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29298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B2715" w:rsidRPr="001B2715" w:rsidRDefault="001B2715" w:rsidP="001B271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12.3 Упакованные изделия должны быть перевязаны шпагатом по </w:t>
      </w:r>
      <w:hyperlink r:id="rId17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17308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оклеены клеевой лентой на бумажной основе по </w:t>
      </w:r>
      <w:hyperlink r:id="rId18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18251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полиэтиленовой лентой с липким слоем по </w:t>
      </w:r>
      <w:hyperlink r:id="rId19" w:history="1">
        <w:r w:rsidRPr="001B27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ГОСТ 20477</w:t>
        </w:r>
      </w:hyperlink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r w:rsidRPr="001B27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B2715" w:rsidRPr="001B2715" w:rsidRDefault="001B2715" w:rsidP="001B2715">
      <w:pPr>
        <w:keepNext/>
        <w:spacing w:after="0" w:line="240" w:lineRule="auto"/>
        <w:ind w:left="-180" w:firstLine="36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B27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B2715" w:rsidRDefault="001B2715" w:rsidP="001B2715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B2715">
        <w:rPr>
          <w:rFonts w:ascii="Times New Roman" w:eastAsia="Calibri" w:hAnsi="Times New Roman" w:cs="Times New Roman"/>
          <w:b/>
          <w:bCs/>
          <w:sz w:val="20"/>
          <w:szCs w:val="20"/>
        </w:rPr>
        <w:t>Спецификация</w:t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9"/>
        <w:gridCol w:w="4394"/>
        <w:gridCol w:w="1275"/>
        <w:gridCol w:w="1305"/>
        <w:gridCol w:w="993"/>
        <w:gridCol w:w="991"/>
      </w:tblGrid>
      <w:tr w:rsidR="00A07A35" w:rsidRPr="00A07A35" w:rsidTr="00596F81">
        <w:tc>
          <w:tcPr>
            <w:tcW w:w="567" w:type="dxa"/>
            <w:vAlign w:val="center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9" w:type="dxa"/>
            <w:vAlign w:val="center"/>
          </w:tcPr>
          <w:p w:rsidR="00A07A35" w:rsidRPr="00A07A35" w:rsidRDefault="00A07A35" w:rsidP="00A07A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A07A35" w:rsidRPr="00A07A35" w:rsidRDefault="00A07A35" w:rsidP="00A07A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изделия</w:t>
            </w:r>
          </w:p>
        </w:tc>
        <w:tc>
          <w:tcPr>
            <w:tcW w:w="4394" w:type="dxa"/>
            <w:vAlign w:val="center"/>
          </w:tcPr>
          <w:p w:rsidR="00A07A35" w:rsidRPr="00A07A35" w:rsidRDefault="00A07A35" w:rsidP="00A07A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Функциональные, качественные и технические характеристики изделия</w:t>
            </w:r>
          </w:p>
        </w:tc>
        <w:tc>
          <w:tcPr>
            <w:tcW w:w="1275" w:type="dxa"/>
          </w:tcPr>
          <w:p w:rsidR="00A07A35" w:rsidRPr="00A07A35" w:rsidRDefault="001E1DAC" w:rsidP="00A07A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работ</w:t>
            </w:r>
            <w:r w:rsidR="00A07A35" w:rsidRPr="00A07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305" w:type="dxa"/>
          </w:tcPr>
          <w:p w:rsidR="00A07A35" w:rsidRPr="00A07A35" w:rsidRDefault="00A07A35" w:rsidP="00A07A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за ед. </w:t>
            </w:r>
            <w:r w:rsidR="001E1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работ, </w:t>
            </w:r>
            <w:r w:rsidRPr="00A07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3" w:type="dxa"/>
          </w:tcPr>
          <w:p w:rsidR="00A07A35" w:rsidRPr="00A07A35" w:rsidRDefault="00A07A35" w:rsidP="00A07A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Гарантийный срок </w:t>
            </w:r>
          </w:p>
        </w:tc>
        <w:tc>
          <w:tcPr>
            <w:tcW w:w="991" w:type="dxa"/>
          </w:tcPr>
          <w:p w:rsidR="00A07A35" w:rsidRPr="00A07A35" w:rsidRDefault="00A07A35" w:rsidP="00A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службы изделия   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стопы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ind w:right="43" w:hanging="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стопы на культю по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Шопару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без косметической облицовки, приемная гильза индивидуальная (изготовлена по индивидуальному слепку с культи пациента) с пробной гильзой, постоянная приемная гильза из слоистого пластика на основе акриловых смол с открытой задней частью. Вкладная гильза (вкладыш) из вспененных материалов. Стопа полиуретановая. Крепление застежкой. Протез подходит для пациентов с  низкой и средней активностью. Изготовление по индивидуальным обмерам, с учетом индивидуальных потребностей Получателя.</w:t>
            </w: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ind w:right="43" w:hanging="3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47772,67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7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немодульный, в том числе при врожденном недоразвитии 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немодульный шинно-кожаный. Без косметической облицовки и оболочки. Материал приемной гильзы: кожа. Каркас из стальных шин и полукольца. Метод крепления протеза: кожаной гильзой бедра с шинами и поясом с кожаными полуфабрикатами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 полиуретановая, с голеностопным шарниром имеет анатомическую форму с гладкой поверхностью, сформированными пальцами. </w:t>
            </w:r>
          </w:p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 низкой и средней активностью, с аллергическими реакциями кожного покрова на полимерные материалы.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05" w:type="dxa"/>
          </w:tcPr>
          <w:p w:rsidR="00A07A35" w:rsidRPr="00A07A35" w:rsidRDefault="001D53D6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  <w:r w:rsidR="00C525F3"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немодульный, деревянный. Приемная гильза индивидуальная из дерева. Метод крепления протеза: по типу уздечки, кожаной гильзы бедра с шинами и пояса с кожаными полуфабрикатами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Стопа полиуретановая с голеностопным шарниром, имеет анатомическую форму с гладкой поверхностью, сформированными пальцами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 низкой и средней активностью, с аллергическими реакциями кожного покрова на полимерные материалы.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25506,00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немодульный, 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том числе при врожденном недоразвитии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Протез голени немодульный с глубокой посадкой. Формообразующая часть косметической облицовки - 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листовой поролон. Покрытие облицовки – чулок эластичный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Приемная гильза индивидуальная. Материал приемной гильзы: кожа. Метод крепления протеза: по типу уздечки, кожаной гильзы бедра с шинами и пояса с кожаными полуфабрикатами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Металлический трубчатый узел с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юстировочным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устройством. Стопа  полиуретановая, с голеностопным шарниром имеет анатомическую форму с гладкой поверхностью, сформированными пальцами. Протез подходит для пациентов с  низкой и средней активностью.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Получателя.</w:t>
            </w: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38202,33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7 </w:t>
            </w: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Не менее 2 лет </w:t>
            </w: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(для детей-инвалидов - не менее 1 года)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немодульный на культю по Пирогову. Покрытие - оболочка косметическая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Приемная гильза индивидуальная (1 пробная гильза). Материал приемной гильзы: слоистый пластик на основе акриловых смол. Вкладная гильза (вкладыш) из вспененных материалов. Метод крепления протеза: с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использоанием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кожаных полуфабрикатов.</w:t>
            </w:r>
          </w:p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бесшарнирная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полиуретановая. Протез подходит для пациентов с  низкой и средней активностью. 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</w:t>
            </w: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35569,33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модульный. Формообразующая часть косметической облицовки – модульная мягкая полиуретановая, листовой поролон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Косметическое покрытие облицовки – гольфы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перлоновые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Приёмная гильза индивидуальная из литьевого слоистого пластика на основе акриловых смол. Две пробные гильзы. Вкладная гильза из вспененных материалов.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 крепления протеза: по типу уздечки, кожаной гильзы бедра с шинами и пояса с кожаными полуфабрикатами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бесшарнирная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полиуретановая.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 низкой и средней активностью.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80542,67</w:t>
            </w:r>
          </w:p>
        </w:tc>
        <w:tc>
          <w:tcPr>
            <w:tcW w:w="993" w:type="dxa"/>
          </w:tcPr>
          <w:p w:rsidR="00A07A35" w:rsidRPr="00A07A35" w:rsidRDefault="002E335A" w:rsidP="002E335A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модульный, в том числе при недоразвитии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модульный с полимерным чехлом на короткую и среднюю культю. Формообразующая часть косметической облицовки - модульная мягкая пенополиуретановая, листовой поролон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Косметическое покрытие облицовки – гольфы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перлоновые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Приёмная гильза индивидуальная (2 пробные гильзы). Материал приемной гильзы: слоистый пластик на основе акриловых смол, листовой термопластичный пластик. В качестве вкладного элемента применяются полимерные чехлы (силиконовые, полиуретановые,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гелевые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пр.) (2 шт.),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Крепление вакуумное, с использованием замка или вакуумной мембраны, наколенника эластичного (2 шт.)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с интерактивной пружинной системой из 3 связанных друг с другом пружинных элементов, 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стопа с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углепластиковым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опорным модулем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со средней и высокой активностью. 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266176,00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голени модульный. Формообразующая часть косметической облицовки - модульная мягкая пенополиуретановая, листовой поролон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Косметическое покрытие облицовки – гольфы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перлоновые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Приёмная гильза индивидуальная (2 пробные гильзы). Материал приемной гильзы: слоистый пластик на основе полиамидных или акриловых смол, листовой термопластичный пластик, вкладная гильза (вкладыш) из вспененных материалов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Крепление протеза вакуумное, с использованием наколенника эластичного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Стопа шарнирная с пяточным амортизатором, регулируемой жесткости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имеет анатомическую форму с гладкой поверхностью и сформированными пальцами.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подходит для пациентов со средней активностью. 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5" w:type="dxa"/>
          </w:tcPr>
          <w:p w:rsidR="00A07A35" w:rsidRPr="00A07A35" w:rsidRDefault="00C525F3" w:rsidP="00C525F3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121361,67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модульный, в том числе при недоразвитии 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голени модульный. Формообразующая часть косметической облицовки - модульная мягкая пенополиуретановая, листовой поролон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Косметическое покрытие облицовки – гольфы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перлоновые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Приёмная гильза индивидуальная (2 пробные гильзы). Материал приемной гильзы: кожа, древесина, слоистый пластик на основе полиамидных или акриловых смол, листовой термопластичный пластик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Допускается применение вкладной гильзы (вкладыша) из вспененных материалов. Метод крепления протеза: по типу уздечки, кожаной гильзы бедра с шинами и пояса с кожаными полуфабрикатами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Стопа шарнирная с пяточным амортизатором, регулируемой жесткости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имеет анатомическую форму с гладкой поверхностью и сформированными пальцами.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 низкой и средней активностью.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108273,67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бедра немодульный.  Формообразующая часть косметической облицовки - модульная мягкая полиуретановая или листовой поролон. Косметическое покрытие облицовки - чулок эластичный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перлоновый</w:t>
            </w:r>
            <w:proofErr w:type="spellEnd"/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Приёмная гильза унифицированная (без пробных гильз) или индивидуальная (одна пробная гильза). Материал постоянной гильзы: древесина, металл, слоистый пластик на основе акриловых смол или полиамидных смол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Крепление протеза поясное или с использованием 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бандажа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Стопа  полиуретановая, с голеностопным шарниром имеет анатомическую форму с гладкой поверхностью, сформированными пальцами.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Коленный шарнир одноосный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беззамковый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замковый для немодульных протезов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(определяется по медицинским и социально-бытовым показателям Получателя). 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 низкой и средней активностью.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Получателя.</w:t>
            </w: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46350,00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596F81">
        <w:trPr>
          <w:trHeight w:val="6945"/>
        </w:trPr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бедра модульный. Формообразующая часть косметической облицовки - модульная мягкая пенополиуретановая, листовой поролон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Косметическое покрытие облицовки - чулок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Приёмная гильза, унифицированная (без пробных гильз) или индивидуальная (2 пробные гильзы)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приемной гильзы: кожа, древесина, металл, слоистый пластик на основе акриловых смол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Крепление протеза поясное с использованием кожаных полуфабрикатов или крепление с использованием бандажа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бесшарнирная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динамическая выполнена из мелкоячеистого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пенополиуретана</w:t>
            </w:r>
            <w:proofErr w:type="spellEnd"/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стопа шарнирная с пяточным амортизатором, регулируемой жесткости 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Коленный шарнир полицентрический или моноцентрический с пневматическим или механическим управлением фазой переноса.  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Протез подходит для пациентов со средней и высокой активностью. Изготовление по индивидуальным обмерам, с учетом индивидуальных потребностей Получателя и по согласованию с Заказчиком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223403,67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бедра модульный, в том числе при врожденном недоразвитии 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Формообразующая часть косметической облицовки - модульная мягкая пенополиуретановая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листовой поролон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Косметическое покрытие облицовки - чулок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перлоновый</w:t>
            </w:r>
            <w:proofErr w:type="spellEnd"/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Приёмная гильза индивидуальная (2 пробные гильзы). Материал приемной гильзы: слоистый пластик на основе акриловых смол, древесина, металл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с интерактивной пружинной системой из 3 связанных друг с другом пружинных элементов. Коленный шарнир полицентрический или моноцентрический с гидравлическим  или пневматическим регулированием фаз сгибания и разгибания  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Крепление протеза поясное с использованием кожаных полуфабрикатов, вакуумное или крепление с использованием бандажа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Протез подходит для пациентов со средней и высокой активностью.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  <w:p w:rsidR="00A07A35" w:rsidRPr="00A07A35" w:rsidRDefault="00A07A35" w:rsidP="00A07A35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439540,67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бедра модульный. Формообразующая часть косметической облицовки - модульная мягкая пенополиуретановая, листовой поролон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Косметическое покрытие облицовки - чулок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Приёмная гильза унифицированная (без пробных гильз) или индивидуальная (2 пробные гильзы)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 приемной гильзы: кожа, древесина, металл, слоистый пластик на основе акриловых смол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Крепление протеза поясное с использованием кожаных полуфабрикатов, вакуумное или крепление с использованием бандажа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бесшарнирная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полиуретановая. Коленный шарнир замковый моноцентрический. Протез подходит для пациентов с низкой и средней активностью.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150208,33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бедра модульный. Формообразующая часть косметической облицовки - модульная мягкая пенополиуретановая, листовой поролон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Косметическое покрытие облицовки - чулок  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Приёмная гильза индивидуальная (2 пробные гильзы).  Материал приемной гильзы: слоистый пластик на основе акриловых смол.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Применяются полимерные чехлы (силиконовые, полиуретановые,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гелевые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пр.) (2 шт)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Крепление вакуумное, с использованием замка или вакуумной мембраны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Стопа с интерактивной пружинной системой из 3 связанных друг с другом пружинных элементов.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Коленный шарнир полицентрический,  с пневматической или гидравлической системой управления фазой переноса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со средней и высокой активностью.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499996,67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бедра модульный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Формообразующая часть косметической облицовки - модульная мягкая пенополиуретановая, листовой поролон. Косметическое покрытие облицовки - чулок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Приёмная гильза индивидуальная (2 пробные гильзы).  Материал приемной гильзы: слоистый пластик на основе акриловых смол.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Применяются полимерные чехлы (силиконовые, полиуретановые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гелевые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пр.) (2 шт). Крепление 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вакуумное,  с использованием замка или вакуумной мембраны или крепление с использованием бандажа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(определяется по медицинским и социально-бытовым показателям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Стопа шарнирная с пяточным амортизатором, регулируемой жесткости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имеет анатомическую форму с гладкой поверхностью, сформированными пальцами.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Коленный шарнир моноцентрический с замком или с механизмом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подтормаживания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подходит для пациентов со средней  активностью. 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293412,67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при вычленении бедра модульный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при вычленении в тазобедренном суставе модульный.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Формообразующая часть косметической облицовки мягкая пенополиуретановая.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Косметическое покрытие облицовки - чулок эластичный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силоновый</w:t>
            </w:r>
            <w:proofErr w:type="spellEnd"/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Приемная гильза с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полукорсетом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индивидуальная, из слоистого пластика на основе акриловых смол.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Вкладная гильза из вспененных материалов. Крепление с помощью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полукорсета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использованием кожаных полуфабрикатов.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Стопа шарнирная с пяточным амортизатором, регулируемой жесткости, имеет анатомическую форму с гладкой поверхностью и сформированными пальцами. Коленный шарнир моноцентрический с замком</w:t>
            </w:r>
            <w:proofErr w:type="gram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Тазобедренный шарнир модульный, моноцентрический  с замком.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подходит для пациентов со средней и низкой активностью.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Получателя и по согласованию с Заказчиком.</w:t>
            </w: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215077,67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 лет (для детей-инвалидов - не менее 1 года)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голени для купания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голени для купания (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гидростойкий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   Приемная гильза индивидуальная (2 пробные гильзы). Материал приемной гильзы слоистый пластик на основе акриловых смол или из листовых термопластов. Вкладная гильза (вкладыш) из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пеноматериалов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Крепление протеза наколенником из различных материалов (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неопрен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силикон, гель). Стопа имеет специальные рифления от проскальзывания на мокрой поверхности. Косметическая облицовка протеза обеспечивается цельным пластиковым раструбом формообразующей голени, идущим от стопы, и закрепляется на приемной гильзе протеза герметично. </w:t>
            </w:r>
            <w:r w:rsidRPr="00A07A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Изготовление по индивидуальным обмерам, с учетом индивидуальных потребностей Получателя и по согласованию с Заказчиком.</w:t>
            </w: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103975,00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 лет (для детей-инвалидов - не менее 1 года)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бедра для купания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Протез бедра   для купания. Приемная гильза индивидуальная (2 пробные гильзы). Материал гильзы: слоистый пластик на основе акриловых смол, возможна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скелетированная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приемная гильза из аналогичного материала. Вкладная гильза из вспененных материалов. Применяются полимерные чехлы (силиконовые, полиуретановые,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гелевые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др.) (2 шт). Возможно крепление протеза с использованием бандажа или мышечно-вакуумное. Модульный, одноосный замковый коленный шарнир с фиксатором. Устойчив к коррозии. Стопа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бесшарнирная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влагозащищенная. Подошва стопы имеет специальную поверхность с защитой от проскальзывания и позволяет безопасно ходить по мокрым и скользким поверхностям.  Изготовление по индивидуальным обмерам, с учетом индивидуальных </w:t>
            </w: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потребностей Получателя и по согласованию с Заказчиком.</w:t>
            </w: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220279,33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12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3 лет (для детей-инвалидов - не менее 1 года)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голени лечебно-тренировочный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Формообразующая часть косметической облицовки - модульная мягкая пенополиуретановая, листовой поролон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Косметическое покрытие облицовки – чулки ортопедические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перлоновые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Допускается изготовление без косметической облицовки (по индивидуальным потребностям Получателя). Приёмная гильза индивидуальная, по слепку с культи инвалида.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приемных (пробных) гильз не менее 2. По мере формирования культи и изменения ее размеров изготавливается до двух сменных постоянных гильз.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 приемной гильзы: слоистый пластик на основе акриловых смол. В качестве смягчающего материала применяется вкладная гильза из вспененных материалов. Несущий модуль, регулировочно-соединительные устройства соответствуют весу инвалида.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Крепление протеза поясное с использованием кожаных полуфабрикатов (без шин) типа «уздечка» или с шинами с гильзой на бедро (определяется по медицинским и социально-бытовым показателям Получателя). Стопа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бесшарнирная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монолитная полиуретановая, телесного цвета без дополнительных устройств, функциональные качества стопы достигаются за счет комбинации закладного элемента и оболочки из вспененного материала. В комплектацию протеза входят чехлы полушерстяные на культю – 4 штуки.</w:t>
            </w: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91790,00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7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 (по медицинским показаниям приемная гильза может меняться до трех раз в год)</w:t>
            </w:r>
          </w:p>
        </w:tc>
      </w:tr>
      <w:tr w:rsidR="00A07A35" w:rsidRPr="00A07A35" w:rsidTr="00596F81">
        <w:tc>
          <w:tcPr>
            <w:tcW w:w="567" w:type="dxa"/>
          </w:tcPr>
          <w:p w:rsidR="00A07A35" w:rsidRPr="00A07A35" w:rsidRDefault="00A07A35" w:rsidP="00A0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9" w:type="dxa"/>
          </w:tcPr>
          <w:p w:rsidR="00A07A35" w:rsidRPr="00A07A35" w:rsidRDefault="00A07A35" w:rsidP="00A0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Протез бедра лечебно-тренировочный</w:t>
            </w:r>
          </w:p>
        </w:tc>
        <w:tc>
          <w:tcPr>
            <w:tcW w:w="4394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Формообразующая часть косметической облицовки - модульная мягкая пенополиуретановая, листовой поролон (определяется по медицинским и социально-бытовым показателям Получателя).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Косметическое покрытие облицовки – чулки ортопедические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перлоновые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Допускается изготовление без косметической облицовки (по индивидуальным потребностям Получателя). Приёмная гильза индивидуальная, по слепку с культи инвалида.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приемных (пробных) гильз не менее 2. По мере формирования культи и изменения ее размеров изготавливается до двух сменных постоянных гильз.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 приемной гильзы: слоистый пластик на основе акриловых смол. Несущий модуль, регулировочно-соединительные устройства соответствуют весу инвалида. 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Крепление протеза поясное с использованием кожаных полуфабрикатов, состоит из пояса кожаного с капками,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вертлуга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кожаного, ремня-подхвата. Коленный модуль (механический) применяется в зависимости от индивидуальных особенностей инвалида одноосный замковый с нижней опорой в виде хомута, предназначенного для соединения с несущим модулем, или полицентрический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беззамковый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геометрическим замыканием и зависимым регулированием фаз сгибания-разгибания.</w:t>
            </w:r>
          </w:p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Стопа </w:t>
            </w:r>
            <w:proofErr w:type="spellStart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бесшарнирная</w:t>
            </w:r>
            <w:proofErr w:type="spellEnd"/>
            <w:r w:rsidRPr="00A07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монолитная полиуретановая, телесного цвета без дополнительных устройств, функциональные качества стопы достигаются за счет комбинации закладного элемента и оболочки из вспененного материала. В комплектацию протеза входят чехлы полушерстяные на культю – 4 штуки.</w:t>
            </w:r>
          </w:p>
        </w:tc>
        <w:tc>
          <w:tcPr>
            <w:tcW w:w="1275" w:type="dxa"/>
          </w:tcPr>
          <w:p w:rsidR="00A07A35" w:rsidRPr="00A07A35" w:rsidRDefault="00A07A35" w:rsidP="00A0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07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05" w:type="dxa"/>
          </w:tcPr>
          <w:p w:rsidR="00A07A35" w:rsidRPr="00A07A35" w:rsidRDefault="00C525F3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123740,00</w:t>
            </w:r>
          </w:p>
        </w:tc>
        <w:tc>
          <w:tcPr>
            <w:tcW w:w="993" w:type="dxa"/>
          </w:tcPr>
          <w:p w:rsidR="00A07A35" w:rsidRPr="00A07A35" w:rsidRDefault="002E335A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33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менее 7 месяцев</w:t>
            </w:r>
          </w:p>
        </w:tc>
        <w:tc>
          <w:tcPr>
            <w:tcW w:w="991" w:type="dxa"/>
          </w:tcPr>
          <w:p w:rsidR="00A07A35" w:rsidRPr="00A07A35" w:rsidRDefault="00596F81" w:rsidP="00A07A3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6F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 (по медицинским показаниям приемная гильза может меняться до трех раз в год)</w:t>
            </w:r>
          </w:p>
        </w:tc>
      </w:tr>
    </w:tbl>
    <w:p w:rsidR="00C525F3" w:rsidRPr="00C525F3" w:rsidRDefault="00C525F3" w:rsidP="00C525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Всего:</w:t>
      </w:r>
      <w:r w:rsidRPr="00C525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6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596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115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шт. </w:t>
      </w:r>
    </w:p>
    <w:p w:rsidR="0084474F" w:rsidRPr="00596F81" w:rsidRDefault="00C525F3" w:rsidP="001E1DAC">
      <w:pPr>
        <w:spacing w:after="0" w:line="240" w:lineRule="auto"/>
        <w:ind w:firstLine="360"/>
        <w:jc w:val="both"/>
        <w:rPr>
          <w:sz w:val="20"/>
          <w:szCs w:val="20"/>
        </w:rPr>
      </w:pP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Начальная максимальная цена контракта составляет </w:t>
      </w:r>
      <w:r w:rsidR="001D53D6" w:rsidRPr="001D53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16</w:t>
      </w:r>
      <w:r w:rsidR="001D53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="001D53D6" w:rsidRPr="001D53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463 841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руб. </w:t>
      </w:r>
      <w:r w:rsidRPr="00596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04 </w:t>
      </w:r>
      <w:r w:rsidRPr="00C525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коп.</w:t>
      </w:r>
      <w:r w:rsidR="001D53D6" w:rsidRPr="001D53D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bookmarkStart w:id="0" w:name="_GoBack"/>
      <w:bookmarkEnd w:id="0"/>
    </w:p>
    <w:sectPr w:rsidR="0084474F" w:rsidRPr="00596F81" w:rsidSect="00380AE4">
      <w:pgSz w:w="11906" w:h="16838"/>
      <w:pgMar w:top="851" w:right="709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B41E1"/>
    <w:rsid w:val="001B2715"/>
    <w:rsid w:val="001D53D6"/>
    <w:rsid w:val="001E1DAC"/>
    <w:rsid w:val="002E335A"/>
    <w:rsid w:val="0030305A"/>
    <w:rsid w:val="00596F81"/>
    <w:rsid w:val="00612CC0"/>
    <w:rsid w:val="00847D56"/>
    <w:rsid w:val="009665A5"/>
    <w:rsid w:val="00A07A35"/>
    <w:rsid w:val="00B235E1"/>
    <w:rsid w:val="00C16430"/>
    <w:rsid w:val="00C525F3"/>
    <w:rsid w:val="00C8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649" TargetMode="External"/><Relationship Id="rId13" Type="http://schemas.openxmlformats.org/officeDocument/2006/relationships/hyperlink" Target="http://docs.cntd.ru/document/1200018137" TargetMode="External"/><Relationship Id="rId18" Type="http://schemas.openxmlformats.org/officeDocument/2006/relationships/hyperlink" Target="http://docs.cntd.ru/document/120001814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1200019108" TargetMode="External"/><Relationship Id="rId12" Type="http://schemas.openxmlformats.org/officeDocument/2006/relationships/hyperlink" Target="http://docs.cntd.ru/document/1200065649" TargetMode="External"/><Relationship Id="rId17" Type="http://schemas.openxmlformats.org/officeDocument/2006/relationships/hyperlink" Target="http://docs.cntd.ru/document/120002028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4480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9108" TargetMode="External"/><Relationship Id="rId11" Type="http://schemas.openxmlformats.org/officeDocument/2006/relationships/hyperlink" Target="http://docs.cntd.ru/document/1200065649" TargetMode="External"/><Relationship Id="rId5" Type="http://schemas.openxmlformats.org/officeDocument/2006/relationships/hyperlink" Target="http://docs.cntd.ru/document/1200065280" TargetMode="External"/><Relationship Id="rId15" Type="http://schemas.openxmlformats.org/officeDocument/2006/relationships/hyperlink" Target="http://docs.cntd.ru/document/1200018516" TargetMode="External"/><Relationship Id="rId10" Type="http://schemas.openxmlformats.org/officeDocument/2006/relationships/hyperlink" Target="http://docs.cntd.ru/document/1200045398" TargetMode="External"/><Relationship Id="rId19" Type="http://schemas.openxmlformats.org/officeDocument/2006/relationships/hyperlink" Target="http://docs.cntd.ru/document/1200020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4814" TargetMode="External"/><Relationship Id="rId14" Type="http://schemas.openxmlformats.org/officeDocument/2006/relationships/hyperlink" Target="http://docs.cntd.ru/document/1200006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u70</dc:creator>
  <cp:lastModifiedBy>Овчинникова Татьяна Валерьевна</cp:lastModifiedBy>
  <cp:revision>3</cp:revision>
  <dcterms:created xsi:type="dcterms:W3CDTF">2019-01-29T06:21:00Z</dcterms:created>
  <dcterms:modified xsi:type="dcterms:W3CDTF">2019-01-29T06:22:00Z</dcterms:modified>
</cp:coreProperties>
</file>