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646" w:rsidRDefault="00BE2646" w:rsidP="00042BC8">
      <w:pPr>
        <w:widowControl w:val="0"/>
        <w:autoSpaceDE w:val="0"/>
        <w:jc w:val="both"/>
      </w:pPr>
      <w:r>
        <w:t xml:space="preserve">Поставщик должен поставлять </w:t>
      </w:r>
      <w:r>
        <w:rPr>
          <w:bCs/>
        </w:rPr>
        <w:t>специальные</w:t>
      </w:r>
      <w:r w:rsidRPr="000B1D6E">
        <w:rPr>
          <w:bCs/>
        </w:rPr>
        <w:t xml:space="preserve"> средств</w:t>
      </w:r>
      <w:r>
        <w:rPr>
          <w:bCs/>
        </w:rPr>
        <w:t>а</w:t>
      </w:r>
      <w:r w:rsidRPr="000B1D6E">
        <w:rPr>
          <w:bCs/>
        </w:rPr>
        <w:t xml:space="preserve"> при нарушениях </w:t>
      </w:r>
      <w:r>
        <w:rPr>
          <w:bCs/>
        </w:rPr>
        <w:t>функций выделения</w:t>
      </w:r>
      <w:r w:rsidRPr="005174E3">
        <w:t xml:space="preserve"> </w:t>
      </w:r>
      <w:r>
        <w:rPr>
          <w:bCs/>
        </w:rPr>
        <w:t xml:space="preserve">(наборы-мочеприемники для </w:t>
      </w:r>
      <w:proofErr w:type="spellStart"/>
      <w:r>
        <w:rPr>
          <w:bCs/>
        </w:rPr>
        <w:t>самокатетеризации</w:t>
      </w:r>
      <w:proofErr w:type="spellEnd"/>
      <w:r>
        <w:rPr>
          <w:bCs/>
        </w:rPr>
        <w:t>)</w:t>
      </w:r>
      <w:r>
        <w:t xml:space="preserve"> </w:t>
      </w:r>
      <w:r w:rsidRPr="005174E3">
        <w:t xml:space="preserve">(далее </w:t>
      </w:r>
      <w:r>
        <w:t xml:space="preserve">- </w:t>
      </w:r>
      <w:r w:rsidRPr="005174E3">
        <w:t>Изделия)</w:t>
      </w:r>
      <w:r>
        <w:t xml:space="preserve"> </w:t>
      </w:r>
      <w:r w:rsidRPr="001B08B9">
        <w:t xml:space="preserve">для </w:t>
      </w:r>
      <w:r>
        <w:t>инвалидо</w:t>
      </w:r>
      <w:r>
        <w:t>в (далее – Получатели) в 2019</w:t>
      </w:r>
      <w:bookmarkStart w:id="0" w:name="_GoBack"/>
      <w:bookmarkEnd w:id="0"/>
      <w:r>
        <w:t xml:space="preserve"> году в соответствии с требованиями, предъявляемыми в настоящем техническом задании, в период действия государственного контракта.</w:t>
      </w:r>
    </w:p>
    <w:p w:rsidR="00BE2646" w:rsidRDefault="00BE2646" w:rsidP="00042BC8">
      <w:pPr>
        <w:widowControl w:val="0"/>
        <w:autoSpaceDE w:val="0"/>
        <w:jc w:val="both"/>
      </w:pPr>
    </w:p>
    <w:p w:rsidR="00042BC8" w:rsidRPr="00042BC8" w:rsidRDefault="00042BC8" w:rsidP="00042BC8">
      <w:pPr>
        <w:widowControl w:val="0"/>
        <w:autoSpaceDE w:val="0"/>
        <w:jc w:val="both"/>
      </w:pPr>
      <w:r w:rsidRPr="00042BC8">
        <w:rPr>
          <w:b/>
          <w:bCs/>
        </w:rPr>
        <w:t>Срок поставки:</w:t>
      </w:r>
      <w:r w:rsidRPr="00042BC8">
        <w:t xml:space="preserve"> со дня, следующего за днем заключения государственного контракта, до 10.12.2019 включительно.</w:t>
      </w:r>
    </w:p>
    <w:p w:rsidR="00042BC8" w:rsidRPr="00042BC8" w:rsidRDefault="00042BC8" w:rsidP="00042BC8">
      <w:pPr>
        <w:jc w:val="both"/>
      </w:pPr>
    </w:p>
    <w:p w:rsidR="00042BC8" w:rsidRPr="00042BC8" w:rsidRDefault="00042BC8" w:rsidP="00042BC8">
      <w:pPr>
        <w:spacing w:line="240" w:lineRule="atLeast"/>
        <w:jc w:val="both"/>
        <w:rPr>
          <w:b/>
        </w:rPr>
      </w:pPr>
      <w:r w:rsidRPr="00042BC8">
        <w:rPr>
          <w:b/>
        </w:rPr>
        <w:t>1. Поставляемые Изделия должны отвечать следующим требованиям:</w:t>
      </w:r>
    </w:p>
    <w:p w:rsidR="00042BC8" w:rsidRPr="00042BC8" w:rsidRDefault="00042BC8" w:rsidP="00042BC8">
      <w:pPr>
        <w:jc w:val="both"/>
      </w:pPr>
      <w:r w:rsidRPr="00042BC8">
        <w:t>1.1. 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 (Закон РФ от 07.02.1992 № 2300-1 «О защите прав потребителей»).</w:t>
      </w:r>
    </w:p>
    <w:p w:rsidR="00042BC8" w:rsidRPr="00042BC8" w:rsidRDefault="00042BC8" w:rsidP="00042BC8">
      <w:pPr>
        <w:jc w:val="both"/>
      </w:pPr>
      <w:r w:rsidRPr="00042BC8">
        <w:t>1.2. Изделия должны быть новыми. Изделия должны быть свободными от прав третьих лиц.</w:t>
      </w:r>
    </w:p>
    <w:p w:rsidR="00042BC8" w:rsidRPr="00042BC8" w:rsidRDefault="00042BC8" w:rsidP="00042BC8">
      <w:pPr>
        <w:jc w:val="both"/>
      </w:pPr>
      <w:r w:rsidRPr="00042BC8">
        <w:t xml:space="preserve">1.3. </w:t>
      </w:r>
      <w:r w:rsidRPr="00042BC8">
        <w:rPr>
          <w:lang w:eastAsia="ar-SA"/>
        </w:rPr>
        <w:t>Изделия должны отвечать следующим требованиям</w:t>
      </w:r>
      <w:r w:rsidRPr="00042BC8">
        <w:rPr>
          <w:rStyle w:val="a5"/>
        </w:rPr>
        <w:t xml:space="preserve"> </w:t>
      </w:r>
      <w:r w:rsidRPr="00042BC8">
        <w:rPr>
          <w:rStyle w:val="a5"/>
        </w:rPr>
        <w:footnoteReference w:id="1"/>
      </w:r>
      <w:r w:rsidRPr="00042BC8">
        <w:t>:</w:t>
      </w:r>
    </w:p>
    <w:p w:rsidR="00042BC8" w:rsidRPr="00042BC8" w:rsidRDefault="00042BC8" w:rsidP="00042BC8">
      <w:pPr>
        <w:widowControl w:val="0"/>
        <w:jc w:val="both"/>
      </w:pP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1845"/>
        <w:gridCol w:w="2126"/>
        <w:gridCol w:w="1739"/>
        <w:gridCol w:w="2126"/>
        <w:gridCol w:w="992"/>
      </w:tblGrid>
      <w:tr w:rsidR="00042BC8" w:rsidRPr="00042BC8" w:rsidTr="00927C15">
        <w:trPr>
          <w:trHeight w:val="157"/>
          <w:jc w:val="center"/>
        </w:trPr>
        <w:tc>
          <w:tcPr>
            <w:tcW w:w="628" w:type="dxa"/>
            <w:shd w:val="clear" w:color="auto" w:fill="auto"/>
          </w:tcPr>
          <w:p w:rsidR="00042BC8" w:rsidRPr="00042BC8" w:rsidRDefault="00042BC8" w:rsidP="00927C15">
            <w:pPr>
              <w:widowControl w:val="0"/>
              <w:suppressAutoHyphens/>
              <w:jc w:val="both"/>
              <w:rPr>
                <w:lang w:eastAsia="ar-SA"/>
              </w:rPr>
            </w:pPr>
            <w:r w:rsidRPr="00042BC8">
              <w:rPr>
                <w:lang w:eastAsia="ar-SA"/>
              </w:rPr>
              <w:t>№ п/п</w:t>
            </w:r>
          </w:p>
        </w:tc>
        <w:tc>
          <w:tcPr>
            <w:tcW w:w="1845" w:type="dxa"/>
            <w:shd w:val="clear" w:color="auto" w:fill="auto"/>
          </w:tcPr>
          <w:p w:rsidR="00042BC8" w:rsidRPr="00042BC8" w:rsidRDefault="00042BC8" w:rsidP="00927C15">
            <w:pPr>
              <w:widowControl w:val="0"/>
              <w:tabs>
                <w:tab w:val="left" w:pos="0"/>
              </w:tabs>
              <w:suppressAutoHyphens/>
              <w:snapToGrid w:val="0"/>
              <w:jc w:val="center"/>
            </w:pPr>
            <w:r w:rsidRPr="00042BC8">
              <w:t>Наименование Изделия</w:t>
            </w:r>
          </w:p>
        </w:tc>
        <w:tc>
          <w:tcPr>
            <w:tcW w:w="2126" w:type="dxa"/>
            <w:shd w:val="clear" w:color="auto" w:fill="auto"/>
          </w:tcPr>
          <w:p w:rsidR="00042BC8" w:rsidRPr="00042BC8" w:rsidRDefault="00042BC8" w:rsidP="00927C15">
            <w:pPr>
              <w:widowControl w:val="0"/>
              <w:tabs>
                <w:tab w:val="left" w:pos="0"/>
              </w:tabs>
              <w:suppressAutoHyphens/>
              <w:snapToGrid w:val="0"/>
              <w:jc w:val="center"/>
            </w:pPr>
            <w:r w:rsidRPr="00042BC8">
              <w:t>Наименование характеристики Изделия</w:t>
            </w:r>
          </w:p>
        </w:tc>
        <w:tc>
          <w:tcPr>
            <w:tcW w:w="1739" w:type="dxa"/>
            <w:shd w:val="clear" w:color="auto" w:fill="auto"/>
          </w:tcPr>
          <w:p w:rsidR="00042BC8" w:rsidRPr="00042BC8" w:rsidRDefault="00042BC8" w:rsidP="00927C15">
            <w:pPr>
              <w:widowControl w:val="0"/>
              <w:tabs>
                <w:tab w:val="left" w:pos="0"/>
              </w:tabs>
              <w:suppressAutoHyphens/>
              <w:snapToGrid w:val="0"/>
              <w:jc w:val="center"/>
              <w:rPr>
                <w:bCs/>
              </w:rPr>
            </w:pPr>
            <w:r w:rsidRPr="00042BC8">
              <w:t>Показатель характеристики</w:t>
            </w:r>
          </w:p>
        </w:tc>
        <w:tc>
          <w:tcPr>
            <w:tcW w:w="2126" w:type="dxa"/>
          </w:tcPr>
          <w:p w:rsidR="00042BC8" w:rsidRPr="00042BC8" w:rsidRDefault="00042BC8" w:rsidP="00927C15">
            <w:pPr>
              <w:widowControl w:val="0"/>
              <w:suppressAutoHyphens/>
              <w:jc w:val="center"/>
            </w:pPr>
            <w:r w:rsidRPr="00042BC8">
              <w:t>ГОСТ, технический регламент\обоснование использования показателя (в том числе его характеристика)</w:t>
            </w:r>
          </w:p>
        </w:tc>
        <w:tc>
          <w:tcPr>
            <w:tcW w:w="992" w:type="dxa"/>
            <w:shd w:val="clear" w:color="auto" w:fill="auto"/>
          </w:tcPr>
          <w:p w:rsidR="00042BC8" w:rsidRPr="00042BC8" w:rsidRDefault="00042BC8" w:rsidP="00927C15">
            <w:pPr>
              <w:widowControl w:val="0"/>
              <w:suppressAutoHyphens/>
              <w:jc w:val="center"/>
            </w:pPr>
            <w:r w:rsidRPr="00042BC8">
              <w:t>Количество</w:t>
            </w:r>
          </w:p>
          <w:p w:rsidR="00042BC8" w:rsidRPr="00042BC8" w:rsidRDefault="00042BC8" w:rsidP="00927C15">
            <w:pPr>
              <w:widowControl w:val="0"/>
              <w:suppressAutoHyphens/>
              <w:jc w:val="center"/>
            </w:pPr>
          </w:p>
        </w:tc>
      </w:tr>
      <w:tr w:rsidR="00042BC8" w:rsidRPr="00042BC8" w:rsidTr="00927C15">
        <w:trPr>
          <w:trHeight w:val="157"/>
          <w:jc w:val="center"/>
        </w:trPr>
        <w:tc>
          <w:tcPr>
            <w:tcW w:w="628" w:type="dxa"/>
            <w:vMerge w:val="restart"/>
            <w:shd w:val="clear" w:color="auto" w:fill="auto"/>
          </w:tcPr>
          <w:p w:rsidR="00042BC8" w:rsidRPr="00042BC8" w:rsidRDefault="00042BC8" w:rsidP="00927C15">
            <w:pPr>
              <w:widowControl w:val="0"/>
              <w:suppressAutoHyphens/>
              <w:jc w:val="both"/>
              <w:rPr>
                <w:lang w:eastAsia="ar-SA"/>
              </w:rPr>
            </w:pPr>
            <w:r w:rsidRPr="00042BC8">
              <w:rPr>
                <w:lang w:eastAsia="ar-SA"/>
              </w:rPr>
              <w:t>1.</w:t>
            </w:r>
          </w:p>
        </w:tc>
        <w:tc>
          <w:tcPr>
            <w:tcW w:w="1845" w:type="dxa"/>
            <w:vMerge w:val="restart"/>
            <w:shd w:val="clear" w:color="auto" w:fill="auto"/>
          </w:tcPr>
          <w:p w:rsidR="00042BC8" w:rsidRPr="00042BC8" w:rsidRDefault="00042BC8" w:rsidP="00927C15">
            <w:pPr>
              <w:widowControl w:val="0"/>
              <w:suppressAutoHyphens/>
              <w:spacing w:line="240" w:lineRule="atLeast"/>
              <w:jc w:val="center"/>
            </w:pPr>
            <w:r w:rsidRPr="00042BC8">
              <w:t xml:space="preserve">Наборы –мочеприемники для </w:t>
            </w:r>
            <w:proofErr w:type="spellStart"/>
            <w:r w:rsidRPr="00042BC8">
              <w:t>самокатетеризации</w:t>
            </w:r>
            <w:proofErr w:type="spellEnd"/>
          </w:p>
        </w:tc>
        <w:tc>
          <w:tcPr>
            <w:tcW w:w="2126" w:type="dxa"/>
            <w:shd w:val="clear" w:color="auto" w:fill="auto"/>
          </w:tcPr>
          <w:p w:rsidR="00042BC8" w:rsidRPr="00042BC8" w:rsidRDefault="00042BC8" w:rsidP="00927C15">
            <w:pPr>
              <w:widowControl w:val="0"/>
              <w:suppressAutoHyphens/>
              <w:jc w:val="center"/>
            </w:pPr>
            <w:r w:rsidRPr="00042BC8">
              <w:t>Кратность применения: однократного применения</w:t>
            </w:r>
          </w:p>
        </w:tc>
        <w:tc>
          <w:tcPr>
            <w:tcW w:w="1739" w:type="dxa"/>
            <w:shd w:val="clear" w:color="auto" w:fill="auto"/>
          </w:tcPr>
          <w:p w:rsidR="00042BC8" w:rsidRPr="00042BC8" w:rsidRDefault="00042BC8" w:rsidP="00927C15">
            <w:pPr>
              <w:widowControl w:val="0"/>
              <w:suppressAutoHyphens/>
            </w:pPr>
            <w:r w:rsidRPr="00042BC8">
              <w:t xml:space="preserve">   наличие</w:t>
            </w:r>
          </w:p>
        </w:tc>
        <w:tc>
          <w:tcPr>
            <w:tcW w:w="2126" w:type="dxa"/>
          </w:tcPr>
          <w:p w:rsidR="00042BC8" w:rsidRPr="00042BC8" w:rsidRDefault="00042BC8" w:rsidP="00927C15">
            <w:pPr>
              <w:spacing w:line="240" w:lineRule="atLeast"/>
              <w:ind w:left="-108" w:firstLine="108"/>
              <w:jc w:val="center"/>
            </w:pPr>
            <w:r w:rsidRPr="00042BC8">
              <w:t>Методические рекомендации по установлению медицинских показаний и противопоказаний при назначении специалистами медико-социальной экспертизы технических средств реабилитации инвалида и методика их рационального подбора (далее - Методические рекомендации)</w:t>
            </w:r>
          </w:p>
        </w:tc>
        <w:tc>
          <w:tcPr>
            <w:tcW w:w="992" w:type="dxa"/>
            <w:vMerge w:val="restart"/>
            <w:shd w:val="clear" w:color="auto" w:fill="auto"/>
          </w:tcPr>
          <w:p w:rsidR="00042BC8" w:rsidRPr="00042BC8" w:rsidRDefault="00042BC8" w:rsidP="00927C15">
            <w:pPr>
              <w:widowControl w:val="0"/>
              <w:suppressAutoHyphens/>
              <w:jc w:val="center"/>
            </w:pPr>
            <w:r w:rsidRPr="00042BC8">
              <w:t>12600</w:t>
            </w:r>
          </w:p>
        </w:tc>
      </w:tr>
      <w:tr w:rsidR="00042BC8" w:rsidRPr="00042BC8" w:rsidTr="00927C15">
        <w:trPr>
          <w:trHeight w:val="157"/>
          <w:jc w:val="center"/>
        </w:trPr>
        <w:tc>
          <w:tcPr>
            <w:tcW w:w="628" w:type="dxa"/>
            <w:vMerge/>
            <w:shd w:val="clear" w:color="auto" w:fill="auto"/>
          </w:tcPr>
          <w:p w:rsidR="00042BC8" w:rsidRPr="00042BC8" w:rsidRDefault="00042BC8" w:rsidP="00927C15">
            <w:pPr>
              <w:widowControl w:val="0"/>
              <w:suppressAutoHyphens/>
              <w:jc w:val="both"/>
              <w:rPr>
                <w:lang w:eastAsia="ar-SA"/>
              </w:rPr>
            </w:pPr>
          </w:p>
        </w:tc>
        <w:tc>
          <w:tcPr>
            <w:tcW w:w="1845" w:type="dxa"/>
            <w:vMerge/>
            <w:shd w:val="clear" w:color="auto" w:fill="auto"/>
          </w:tcPr>
          <w:p w:rsidR="00042BC8" w:rsidRPr="00042BC8" w:rsidRDefault="00042BC8" w:rsidP="00927C15">
            <w:pPr>
              <w:widowControl w:val="0"/>
              <w:suppressAutoHyphens/>
              <w:spacing w:line="240" w:lineRule="atLeast"/>
              <w:ind w:firstLine="709"/>
              <w:jc w:val="center"/>
            </w:pPr>
          </w:p>
        </w:tc>
        <w:tc>
          <w:tcPr>
            <w:tcW w:w="2126" w:type="dxa"/>
            <w:shd w:val="clear" w:color="auto" w:fill="auto"/>
          </w:tcPr>
          <w:p w:rsidR="00042BC8" w:rsidRPr="00042BC8" w:rsidRDefault="00042BC8" w:rsidP="00927C15">
            <w:pPr>
              <w:widowControl w:val="0"/>
              <w:suppressAutoHyphens/>
              <w:autoSpaceDE w:val="0"/>
              <w:autoSpaceDN w:val="0"/>
              <w:adjustRightInd w:val="0"/>
              <w:spacing w:line="240" w:lineRule="atLeast"/>
              <w:jc w:val="center"/>
              <w:rPr>
                <w:bCs/>
                <w:highlight w:val="yellow"/>
              </w:rPr>
            </w:pPr>
            <w:r w:rsidRPr="00042BC8">
              <w:t>Мешок - мочеприемник</w:t>
            </w:r>
          </w:p>
        </w:tc>
        <w:tc>
          <w:tcPr>
            <w:tcW w:w="1739" w:type="dxa"/>
            <w:shd w:val="clear" w:color="auto" w:fill="auto"/>
          </w:tcPr>
          <w:p w:rsidR="00042BC8" w:rsidRPr="00042BC8" w:rsidRDefault="00042BC8" w:rsidP="00927C15">
            <w:pPr>
              <w:widowControl w:val="0"/>
              <w:suppressAutoHyphens/>
              <w:snapToGrid w:val="0"/>
              <w:spacing w:line="240" w:lineRule="atLeast"/>
              <w:jc w:val="center"/>
            </w:pPr>
            <w:r w:rsidRPr="00042BC8">
              <w:t>наличие</w:t>
            </w:r>
          </w:p>
        </w:tc>
        <w:tc>
          <w:tcPr>
            <w:tcW w:w="2126" w:type="dxa"/>
          </w:tcPr>
          <w:p w:rsidR="00042BC8" w:rsidRPr="00042BC8" w:rsidRDefault="00042BC8" w:rsidP="00927C15">
            <w:pPr>
              <w:widowControl w:val="0"/>
              <w:suppressAutoHyphens/>
              <w:spacing w:line="240" w:lineRule="atLeast"/>
              <w:jc w:val="center"/>
              <w:rPr>
                <w:lang w:eastAsia="ar-SA"/>
              </w:rPr>
            </w:pPr>
            <w:r w:rsidRPr="00042BC8">
              <w:rPr>
                <w:lang w:eastAsia="ar-SA"/>
              </w:rPr>
              <w:t xml:space="preserve">Приказ Министерства труда и социальной защиты РФ от 24.05.2013г. </w:t>
            </w:r>
          </w:p>
          <w:p w:rsidR="00042BC8" w:rsidRPr="00042BC8" w:rsidRDefault="00042BC8" w:rsidP="00927C15">
            <w:pPr>
              <w:widowControl w:val="0"/>
              <w:suppressAutoHyphens/>
              <w:spacing w:line="240" w:lineRule="atLeast"/>
              <w:jc w:val="center"/>
              <w:rPr>
                <w:lang w:eastAsia="ar-SA"/>
              </w:rPr>
            </w:pPr>
            <w:r w:rsidRPr="00042BC8">
              <w:rPr>
                <w:lang w:eastAsia="ar-SA"/>
              </w:rPr>
              <w:t>№ 214н</w:t>
            </w:r>
          </w:p>
        </w:tc>
        <w:tc>
          <w:tcPr>
            <w:tcW w:w="992" w:type="dxa"/>
            <w:vMerge/>
            <w:shd w:val="clear" w:color="auto" w:fill="auto"/>
          </w:tcPr>
          <w:p w:rsidR="00042BC8" w:rsidRPr="00042BC8" w:rsidRDefault="00042BC8" w:rsidP="00927C15">
            <w:pPr>
              <w:widowControl w:val="0"/>
              <w:suppressAutoHyphens/>
              <w:jc w:val="center"/>
            </w:pPr>
          </w:p>
        </w:tc>
      </w:tr>
      <w:tr w:rsidR="00042BC8" w:rsidRPr="00042BC8" w:rsidTr="00927C15">
        <w:trPr>
          <w:trHeight w:val="157"/>
          <w:jc w:val="center"/>
        </w:trPr>
        <w:tc>
          <w:tcPr>
            <w:tcW w:w="628" w:type="dxa"/>
            <w:vMerge/>
            <w:shd w:val="clear" w:color="auto" w:fill="auto"/>
          </w:tcPr>
          <w:p w:rsidR="00042BC8" w:rsidRPr="00042BC8" w:rsidRDefault="00042BC8" w:rsidP="00927C15">
            <w:pPr>
              <w:widowControl w:val="0"/>
              <w:suppressAutoHyphens/>
              <w:jc w:val="both"/>
              <w:rPr>
                <w:lang w:eastAsia="ar-SA"/>
              </w:rPr>
            </w:pPr>
          </w:p>
        </w:tc>
        <w:tc>
          <w:tcPr>
            <w:tcW w:w="1845" w:type="dxa"/>
            <w:vMerge/>
            <w:shd w:val="clear" w:color="auto" w:fill="auto"/>
          </w:tcPr>
          <w:p w:rsidR="00042BC8" w:rsidRPr="00042BC8" w:rsidRDefault="00042BC8" w:rsidP="00927C15">
            <w:pPr>
              <w:widowControl w:val="0"/>
              <w:suppressAutoHyphens/>
              <w:spacing w:line="240" w:lineRule="atLeast"/>
              <w:ind w:firstLine="709"/>
              <w:jc w:val="center"/>
            </w:pPr>
          </w:p>
        </w:tc>
        <w:tc>
          <w:tcPr>
            <w:tcW w:w="2126" w:type="dxa"/>
            <w:shd w:val="clear" w:color="auto" w:fill="auto"/>
          </w:tcPr>
          <w:p w:rsidR="00042BC8" w:rsidRPr="00042BC8" w:rsidRDefault="00042BC8" w:rsidP="00927C15">
            <w:pPr>
              <w:widowControl w:val="0"/>
              <w:suppressAutoHyphens/>
              <w:autoSpaceDE w:val="0"/>
              <w:autoSpaceDN w:val="0"/>
              <w:adjustRightInd w:val="0"/>
              <w:spacing w:line="240" w:lineRule="atLeast"/>
              <w:jc w:val="center"/>
              <w:rPr>
                <w:bCs/>
              </w:rPr>
            </w:pPr>
            <w:proofErr w:type="spellStart"/>
            <w:r w:rsidRPr="00042BC8">
              <w:t>Лубрицированный</w:t>
            </w:r>
            <w:proofErr w:type="spellEnd"/>
            <w:r w:rsidRPr="00042BC8">
              <w:t xml:space="preserve"> катетер для </w:t>
            </w:r>
            <w:proofErr w:type="spellStart"/>
            <w:r w:rsidRPr="00042BC8">
              <w:t>самокатетеризации</w:t>
            </w:r>
            <w:proofErr w:type="spellEnd"/>
          </w:p>
        </w:tc>
        <w:tc>
          <w:tcPr>
            <w:tcW w:w="1739" w:type="dxa"/>
            <w:shd w:val="clear" w:color="auto" w:fill="auto"/>
          </w:tcPr>
          <w:p w:rsidR="00042BC8" w:rsidRPr="00042BC8" w:rsidRDefault="00042BC8" w:rsidP="00927C15">
            <w:pPr>
              <w:widowControl w:val="0"/>
              <w:suppressAutoHyphens/>
              <w:snapToGrid w:val="0"/>
              <w:spacing w:line="240" w:lineRule="atLeast"/>
              <w:jc w:val="center"/>
            </w:pPr>
            <w:r w:rsidRPr="00042BC8">
              <w:t>наличие</w:t>
            </w:r>
          </w:p>
        </w:tc>
        <w:tc>
          <w:tcPr>
            <w:tcW w:w="2126" w:type="dxa"/>
          </w:tcPr>
          <w:p w:rsidR="00042BC8" w:rsidRPr="00042BC8" w:rsidRDefault="00042BC8" w:rsidP="00927C15">
            <w:pPr>
              <w:widowControl w:val="0"/>
              <w:suppressAutoHyphens/>
              <w:jc w:val="center"/>
              <w:rPr>
                <w:lang w:eastAsia="ar-SA"/>
              </w:rPr>
            </w:pPr>
            <w:r w:rsidRPr="00042BC8">
              <w:rPr>
                <w:lang w:eastAsia="ar-SA"/>
              </w:rPr>
              <w:t xml:space="preserve">Приказ Министерства труда и социальной защиты РФ от 24.05.2013г. </w:t>
            </w:r>
          </w:p>
          <w:p w:rsidR="00042BC8" w:rsidRPr="00042BC8" w:rsidRDefault="00042BC8" w:rsidP="00927C15">
            <w:pPr>
              <w:widowControl w:val="0"/>
              <w:suppressAutoHyphens/>
              <w:jc w:val="center"/>
              <w:rPr>
                <w:lang w:eastAsia="ar-SA"/>
              </w:rPr>
            </w:pPr>
            <w:r w:rsidRPr="00042BC8">
              <w:rPr>
                <w:lang w:eastAsia="ar-SA"/>
              </w:rPr>
              <w:t>№ 214н</w:t>
            </w:r>
          </w:p>
        </w:tc>
        <w:tc>
          <w:tcPr>
            <w:tcW w:w="992" w:type="dxa"/>
            <w:vMerge/>
            <w:shd w:val="clear" w:color="auto" w:fill="auto"/>
          </w:tcPr>
          <w:p w:rsidR="00042BC8" w:rsidRPr="00042BC8" w:rsidRDefault="00042BC8" w:rsidP="00927C15">
            <w:pPr>
              <w:widowControl w:val="0"/>
              <w:suppressAutoHyphens/>
              <w:jc w:val="center"/>
            </w:pPr>
          </w:p>
        </w:tc>
      </w:tr>
      <w:tr w:rsidR="00042BC8" w:rsidRPr="00042BC8" w:rsidTr="00927C15">
        <w:trPr>
          <w:trHeight w:val="157"/>
          <w:jc w:val="center"/>
        </w:trPr>
        <w:tc>
          <w:tcPr>
            <w:tcW w:w="628" w:type="dxa"/>
            <w:vMerge/>
            <w:shd w:val="clear" w:color="auto" w:fill="auto"/>
          </w:tcPr>
          <w:p w:rsidR="00042BC8" w:rsidRPr="00042BC8" w:rsidRDefault="00042BC8" w:rsidP="00927C15">
            <w:pPr>
              <w:widowControl w:val="0"/>
              <w:suppressAutoHyphens/>
              <w:jc w:val="both"/>
              <w:rPr>
                <w:lang w:eastAsia="ar-SA"/>
              </w:rPr>
            </w:pPr>
          </w:p>
        </w:tc>
        <w:tc>
          <w:tcPr>
            <w:tcW w:w="1845" w:type="dxa"/>
            <w:vMerge/>
            <w:shd w:val="clear" w:color="auto" w:fill="auto"/>
          </w:tcPr>
          <w:p w:rsidR="00042BC8" w:rsidRPr="00042BC8" w:rsidRDefault="00042BC8" w:rsidP="00927C15">
            <w:pPr>
              <w:widowControl w:val="0"/>
              <w:suppressAutoHyphens/>
              <w:spacing w:line="240" w:lineRule="atLeast"/>
              <w:ind w:firstLine="709"/>
              <w:jc w:val="center"/>
            </w:pPr>
          </w:p>
        </w:tc>
        <w:tc>
          <w:tcPr>
            <w:tcW w:w="2126" w:type="dxa"/>
            <w:shd w:val="clear" w:color="auto" w:fill="auto"/>
          </w:tcPr>
          <w:p w:rsidR="00042BC8" w:rsidRPr="00042BC8" w:rsidRDefault="00042BC8" w:rsidP="00927C15">
            <w:pPr>
              <w:jc w:val="center"/>
            </w:pPr>
            <w:r w:rsidRPr="00042BC8">
              <w:t>Стерильность</w:t>
            </w:r>
          </w:p>
          <w:p w:rsidR="00042BC8" w:rsidRPr="00042BC8" w:rsidRDefault="00042BC8" w:rsidP="00927C15">
            <w:pPr>
              <w:spacing w:line="240" w:lineRule="atLeast"/>
              <w:jc w:val="center"/>
            </w:pPr>
            <w:r w:rsidRPr="00042BC8">
              <w:t>катетера</w:t>
            </w:r>
          </w:p>
        </w:tc>
        <w:tc>
          <w:tcPr>
            <w:tcW w:w="1739" w:type="dxa"/>
            <w:shd w:val="clear" w:color="auto" w:fill="auto"/>
          </w:tcPr>
          <w:p w:rsidR="00042BC8" w:rsidRPr="00042BC8" w:rsidRDefault="00042BC8" w:rsidP="00927C15">
            <w:pPr>
              <w:widowControl w:val="0"/>
              <w:suppressAutoHyphens/>
              <w:snapToGrid w:val="0"/>
              <w:spacing w:line="240" w:lineRule="atLeast"/>
              <w:jc w:val="center"/>
              <w:rPr>
                <w:lang w:eastAsia="ar-SA"/>
              </w:rPr>
            </w:pPr>
            <w:r w:rsidRPr="00042BC8">
              <w:t>наличие</w:t>
            </w:r>
          </w:p>
        </w:tc>
        <w:tc>
          <w:tcPr>
            <w:tcW w:w="2126" w:type="dxa"/>
          </w:tcPr>
          <w:p w:rsidR="00042BC8" w:rsidRPr="00042BC8" w:rsidRDefault="00042BC8" w:rsidP="00927C15">
            <w:pPr>
              <w:widowControl w:val="0"/>
              <w:suppressAutoHyphens/>
              <w:spacing w:line="240" w:lineRule="atLeast"/>
              <w:jc w:val="center"/>
            </w:pPr>
            <w:r w:rsidRPr="00042BC8">
              <w:t>Методические рекомендации</w:t>
            </w:r>
          </w:p>
        </w:tc>
        <w:tc>
          <w:tcPr>
            <w:tcW w:w="992" w:type="dxa"/>
            <w:vMerge/>
            <w:shd w:val="clear" w:color="auto" w:fill="auto"/>
          </w:tcPr>
          <w:p w:rsidR="00042BC8" w:rsidRPr="00042BC8" w:rsidRDefault="00042BC8" w:rsidP="00927C15">
            <w:pPr>
              <w:widowControl w:val="0"/>
              <w:suppressAutoHyphens/>
              <w:jc w:val="center"/>
            </w:pPr>
          </w:p>
        </w:tc>
      </w:tr>
      <w:tr w:rsidR="00042BC8" w:rsidRPr="00042BC8" w:rsidTr="00927C15">
        <w:trPr>
          <w:trHeight w:val="157"/>
          <w:jc w:val="center"/>
        </w:trPr>
        <w:tc>
          <w:tcPr>
            <w:tcW w:w="628" w:type="dxa"/>
            <w:vMerge/>
            <w:shd w:val="clear" w:color="auto" w:fill="auto"/>
          </w:tcPr>
          <w:p w:rsidR="00042BC8" w:rsidRPr="00042BC8" w:rsidRDefault="00042BC8" w:rsidP="00927C15">
            <w:pPr>
              <w:widowControl w:val="0"/>
              <w:suppressAutoHyphens/>
              <w:jc w:val="both"/>
              <w:rPr>
                <w:lang w:eastAsia="ar-SA"/>
              </w:rPr>
            </w:pPr>
          </w:p>
        </w:tc>
        <w:tc>
          <w:tcPr>
            <w:tcW w:w="1845" w:type="dxa"/>
            <w:vMerge/>
            <w:shd w:val="clear" w:color="auto" w:fill="auto"/>
          </w:tcPr>
          <w:p w:rsidR="00042BC8" w:rsidRPr="00042BC8" w:rsidRDefault="00042BC8" w:rsidP="00927C15">
            <w:pPr>
              <w:widowControl w:val="0"/>
              <w:suppressAutoHyphens/>
              <w:spacing w:line="240" w:lineRule="atLeast"/>
              <w:ind w:firstLine="709"/>
              <w:jc w:val="center"/>
            </w:pPr>
          </w:p>
        </w:tc>
        <w:tc>
          <w:tcPr>
            <w:tcW w:w="2126" w:type="dxa"/>
            <w:shd w:val="clear" w:color="auto" w:fill="auto"/>
          </w:tcPr>
          <w:p w:rsidR="00042BC8" w:rsidRPr="00042BC8" w:rsidRDefault="00042BC8" w:rsidP="00927C15">
            <w:pPr>
              <w:widowControl w:val="0"/>
              <w:suppressAutoHyphens/>
              <w:jc w:val="center"/>
              <w:rPr>
                <w:bCs/>
              </w:rPr>
            </w:pPr>
            <w:r w:rsidRPr="00042BC8">
              <w:t>Количество типоразмеров катетеров женских для пользователей с любыми антропометрическими данными</w:t>
            </w:r>
          </w:p>
        </w:tc>
        <w:tc>
          <w:tcPr>
            <w:tcW w:w="1739" w:type="dxa"/>
            <w:shd w:val="clear" w:color="auto" w:fill="auto"/>
          </w:tcPr>
          <w:p w:rsidR="00042BC8" w:rsidRPr="00042BC8" w:rsidRDefault="00042BC8" w:rsidP="00927C15">
            <w:pPr>
              <w:widowControl w:val="0"/>
              <w:suppressAutoHyphens/>
              <w:snapToGrid w:val="0"/>
              <w:spacing w:line="240" w:lineRule="atLeast"/>
              <w:jc w:val="center"/>
              <w:rPr>
                <w:lang w:eastAsia="ar-SA"/>
              </w:rPr>
            </w:pPr>
            <w:r w:rsidRPr="00042BC8">
              <w:t>не менее 5</w:t>
            </w:r>
          </w:p>
        </w:tc>
        <w:tc>
          <w:tcPr>
            <w:tcW w:w="2126" w:type="dxa"/>
          </w:tcPr>
          <w:p w:rsidR="00042BC8" w:rsidRPr="00042BC8" w:rsidRDefault="00042BC8" w:rsidP="00927C15">
            <w:pPr>
              <w:widowControl w:val="0"/>
              <w:suppressAutoHyphens/>
              <w:jc w:val="both"/>
              <w:rPr>
                <w:lang w:eastAsia="ar-SA"/>
              </w:rPr>
            </w:pPr>
            <w:r w:rsidRPr="00042BC8">
              <w:t>Антропометрические данные получателей</w:t>
            </w:r>
          </w:p>
        </w:tc>
        <w:tc>
          <w:tcPr>
            <w:tcW w:w="992" w:type="dxa"/>
            <w:vMerge/>
            <w:shd w:val="clear" w:color="auto" w:fill="auto"/>
          </w:tcPr>
          <w:p w:rsidR="00042BC8" w:rsidRPr="00042BC8" w:rsidRDefault="00042BC8" w:rsidP="00927C15">
            <w:pPr>
              <w:widowControl w:val="0"/>
              <w:suppressAutoHyphens/>
              <w:jc w:val="center"/>
            </w:pPr>
          </w:p>
        </w:tc>
      </w:tr>
      <w:tr w:rsidR="00042BC8" w:rsidRPr="00042BC8" w:rsidTr="00927C15">
        <w:trPr>
          <w:trHeight w:val="157"/>
          <w:jc w:val="center"/>
        </w:trPr>
        <w:tc>
          <w:tcPr>
            <w:tcW w:w="628" w:type="dxa"/>
            <w:vMerge/>
            <w:shd w:val="clear" w:color="auto" w:fill="auto"/>
          </w:tcPr>
          <w:p w:rsidR="00042BC8" w:rsidRPr="00042BC8" w:rsidRDefault="00042BC8" w:rsidP="00927C15">
            <w:pPr>
              <w:widowControl w:val="0"/>
              <w:suppressAutoHyphens/>
              <w:jc w:val="both"/>
              <w:rPr>
                <w:lang w:eastAsia="ar-SA"/>
              </w:rPr>
            </w:pPr>
          </w:p>
        </w:tc>
        <w:tc>
          <w:tcPr>
            <w:tcW w:w="1845" w:type="dxa"/>
            <w:vMerge/>
            <w:shd w:val="clear" w:color="auto" w:fill="auto"/>
          </w:tcPr>
          <w:p w:rsidR="00042BC8" w:rsidRPr="00042BC8" w:rsidRDefault="00042BC8" w:rsidP="00927C15">
            <w:pPr>
              <w:widowControl w:val="0"/>
              <w:suppressAutoHyphens/>
              <w:spacing w:line="240" w:lineRule="atLeast"/>
              <w:ind w:firstLine="709"/>
              <w:jc w:val="center"/>
            </w:pPr>
          </w:p>
        </w:tc>
        <w:tc>
          <w:tcPr>
            <w:tcW w:w="2126" w:type="dxa"/>
            <w:shd w:val="clear" w:color="auto" w:fill="auto"/>
          </w:tcPr>
          <w:p w:rsidR="00042BC8" w:rsidRPr="00042BC8" w:rsidRDefault="00042BC8" w:rsidP="00927C15">
            <w:pPr>
              <w:widowControl w:val="0"/>
              <w:suppressAutoHyphens/>
              <w:jc w:val="center"/>
              <w:rPr>
                <w:bCs/>
              </w:rPr>
            </w:pPr>
            <w:r w:rsidRPr="00042BC8">
              <w:t>Количество типоразмеров катетеров мужских для пользователей с любыми антропометрическими данными</w:t>
            </w:r>
          </w:p>
        </w:tc>
        <w:tc>
          <w:tcPr>
            <w:tcW w:w="1739" w:type="dxa"/>
            <w:shd w:val="clear" w:color="auto" w:fill="auto"/>
          </w:tcPr>
          <w:p w:rsidR="00042BC8" w:rsidRPr="00042BC8" w:rsidRDefault="00042BC8" w:rsidP="00927C15">
            <w:pPr>
              <w:widowControl w:val="0"/>
              <w:suppressAutoHyphens/>
              <w:snapToGrid w:val="0"/>
              <w:spacing w:line="240" w:lineRule="atLeast"/>
              <w:jc w:val="center"/>
            </w:pPr>
            <w:r w:rsidRPr="00042BC8">
              <w:t>не менее 5</w:t>
            </w:r>
          </w:p>
        </w:tc>
        <w:tc>
          <w:tcPr>
            <w:tcW w:w="2126" w:type="dxa"/>
          </w:tcPr>
          <w:p w:rsidR="00042BC8" w:rsidRPr="00042BC8" w:rsidRDefault="00042BC8" w:rsidP="00927C15">
            <w:pPr>
              <w:widowControl w:val="0"/>
              <w:suppressAutoHyphens/>
              <w:jc w:val="both"/>
              <w:rPr>
                <w:lang w:eastAsia="ar-SA"/>
              </w:rPr>
            </w:pPr>
            <w:r w:rsidRPr="00042BC8">
              <w:t>Антропометрические данные получателей</w:t>
            </w:r>
          </w:p>
        </w:tc>
        <w:tc>
          <w:tcPr>
            <w:tcW w:w="992" w:type="dxa"/>
            <w:vMerge/>
            <w:shd w:val="clear" w:color="auto" w:fill="auto"/>
          </w:tcPr>
          <w:p w:rsidR="00042BC8" w:rsidRPr="00042BC8" w:rsidRDefault="00042BC8" w:rsidP="00927C15">
            <w:pPr>
              <w:widowControl w:val="0"/>
              <w:suppressAutoHyphens/>
              <w:jc w:val="center"/>
            </w:pPr>
          </w:p>
        </w:tc>
      </w:tr>
      <w:tr w:rsidR="00042BC8" w:rsidRPr="00042BC8" w:rsidTr="00927C15">
        <w:trPr>
          <w:trHeight w:val="157"/>
          <w:jc w:val="center"/>
        </w:trPr>
        <w:tc>
          <w:tcPr>
            <w:tcW w:w="8464" w:type="dxa"/>
            <w:gridSpan w:val="5"/>
            <w:shd w:val="clear" w:color="auto" w:fill="auto"/>
          </w:tcPr>
          <w:p w:rsidR="00042BC8" w:rsidRPr="00042BC8" w:rsidRDefault="00042BC8" w:rsidP="00927C15">
            <w:pPr>
              <w:widowControl w:val="0"/>
              <w:suppressAutoHyphens/>
              <w:spacing w:line="240" w:lineRule="atLeast"/>
              <w:jc w:val="center"/>
              <w:rPr>
                <w:highlight w:val="yellow"/>
              </w:rPr>
            </w:pPr>
            <w:r w:rsidRPr="00042BC8">
              <w:t>Итого:</w:t>
            </w:r>
          </w:p>
        </w:tc>
        <w:tc>
          <w:tcPr>
            <w:tcW w:w="992" w:type="dxa"/>
            <w:shd w:val="clear" w:color="auto" w:fill="auto"/>
          </w:tcPr>
          <w:p w:rsidR="00042BC8" w:rsidRPr="00042BC8" w:rsidRDefault="00042BC8" w:rsidP="00927C15">
            <w:pPr>
              <w:widowControl w:val="0"/>
              <w:suppressAutoHyphens/>
              <w:jc w:val="center"/>
            </w:pPr>
            <w:r w:rsidRPr="00042BC8">
              <w:t>12600</w:t>
            </w:r>
          </w:p>
        </w:tc>
      </w:tr>
    </w:tbl>
    <w:p w:rsidR="00042BC8" w:rsidRPr="00042BC8" w:rsidRDefault="00042BC8" w:rsidP="00042BC8">
      <w:pPr>
        <w:jc w:val="both"/>
      </w:pPr>
    </w:p>
    <w:p w:rsidR="00042BC8" w:rsidRPr="00042BC8" w:rsidRDefault="00042BC8" w:rsidP="00042BC8">
      <w:pPr>
        <w:jc w:val="both"/>
      </w:pPr>
      <w:r w:rsidRPr="00042BC8">
        <w:t>1.4. Упаковка Изделия должна обеспечивать защиту Изделия от повреждений, порчи (изнашивания) или загрязнения во время хранения и транспортирования к месту использования по назначению. (п 4.11.5 ГОСТ Р 51632-2014 «Технические средства реабилитации людей с ограничениями жизнедеятельности. Общие технические требования и методы испытаний»).</w:t>
      </w:r>
    </w:p>
    <w:p w:rsidR="00042BC8" w:rsidRPr="00042BC8" w:rsidRDefault="00042BC8" w:rsidP="00042BC8">
      <w:pPr>
        <w:jc w:val="both"/>
      </w:pPr>
    </w:p>
    <w:p w:rsidR="00042BC8" w:rsidRPr="00042BC8" w:rsidRDefault="00042BC8" w:rsidP="00042BC8">
      <w:pPr>
        <w:jc w:val="both"/>
        <w:rPr>
          <w:b/>
          <w:lang w:eastAsia="ar-SA"/>
        </w:rPr>
      </w:pPr>
      <w:r w:rsidRPr="00042BC8">
        <w:rPr>
          <w:b/>
          <w:lang w:eastAsia="ar-SA"/>
        </w:rPr>
        <w:t>2. Поставщик обязан:</w:t>
      </w:r>
    </w:p>
    <w:p w:rsidR="00042BC8" w:rsidRPr="00042BC8" w:rsidRDefault="00042BC8" w:rsidP="00042BC8">
      <w:pPr>
        <w:jc w:val="both"/>
        <w:rPr>
          <w:rFonts w:ascii="Times New Roman CYR" w:hAnsi="Times New Roman CYR" w:cs="Times New Roman CYR"/>
        </w:rPr>
      </w:pPr>
      <w:r w:rsidRPr="00042BC8">
        <w:rPr>
          <w:lang w:eastAsia="ar-SA"/>
        </w:rPr>
        <w:t xml:space="preserve">2.1. </w:t>
      </w:r>
      <w:r w:rsidRPr="00042BC8">
        <w:t xml:space="preserve">Поставлять для Получателей Изделия, </w:t>
      </w:r>
      <w:r w:rsidRPr="00042BC8">
        <w:rPr>
          <w:spacing w:val="-4"/>
        </w:rPr>
        <w:t xml:space="preserve">имеющие </w:t>
      </w:r>
      <w:r w:rsidRPr="00042BC8">
        <w:rPr>
          <w:rFonts w:ascii="Times New Roman CYR" w:hAnsi="Times New Roman CYR" w:cs="Times New Roman CYR"/>
        </w:rPr>
        <w:t xml:space="preserve">действующие регистрационные удостоверения, выданные Федеральной службой по надзору в сфере здравоохранения. </w:t>
      </w:r>
    </w:p>
    <w:p w:rsidR="00042BC8" w:rsidRPr="00042BC8" w:rsidRDefault="00042BC8" w:rsidP="00042BC8">
      <w:pPr>
        <w:jc w:val="both"/>
        <w:rPr>
          <w:rFonts w:ascii="Times New Roman CYR" w:hAnsi="Times New Roman CYR" w:cs="Times New Roman CYR"/>
        </w:rPr>
      </w:pPr>
      <w:r w:rsidRPr="00042BC8">
        <w:rPr>
          <w:rFonts w:ascii="Times New Roman CYR" w:hAnsi="Times New Roman CYR" w:cs="Times New Roman CYR"/>
        </w:rPr>
        <w:t>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w:t>
      </w:r>
    </w:p>
    <w:p w:rsidR="00042BC8" w:rsidRPr="00042BC8" w:rsidRDefault="00042BC8" w:rsidP="00042BC8">
      <w:pPr>
        <w:autoSpaceDE w:val="0"/>
        <w:autoSpaceDN w:val="0"/>
        <w:adjustRightInd w:val="0"/>
        <w:outlineLvl w:val="0"/>
      </w:pPr>
      <w:r w:rsidRPr="00042BC8">
        <w:rPr>
          <w:lang w:eastAsia="ar-SA"/>
        </w:rPr>
        <w:t>2.2. Осуществлять поставку путем передачи Изделий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w:t>
      </w:r>
      <w:r w:rsidRPr="00042BC8">
        <w:t xml:space="preserve"> выдаваемого Заказчиком, подписанного уполномоченным на дату выдачи направления лицом Заказчика.</w:t>
      </w:r>
    </w:p>
    <w:p w:rsidR="00042BC8" w:rsidRPr="00042BC8" w:rsidRDefault="00042BC8" w:rsidP="00042BC8">
      <w:pPr>
        <w:jc w:val="both"/>
      </w:pPr>
      <w:r w:rsidRPr="00042BC8">
        <w:t xml:space="preserve">Сведения (фамилия, имя, отчество) о лицах, уполномоченных на подписание направлений, передаются Заказчиком в письменной форме в срок не позднее одного рабочего дня со дня, следующего за днем заключения государственного контракта. </w:t>
      </w:r>
    </w:p>
    <w:p w:rsidR="00042BC8" w:rsidRPr="00042BC8" w:rsidRDefault="00042BC8" w:rsidP="00042BC8">
      <w:pPr>
        <w:spacing w:line="240" w:lineRule="atLeast"/>
        <w:jc w:val="both"/>
        <w:rPr>
          <w:lang w:eastAsia="ar-SA"/>
        </w:rPr>
      </w:pPr>
      <w:r w:rsidRPr="00042BC8">
        <w:t>Изменения сведений о лицах, уполномоченных на подписание направлений, передаются Заказчиком в письменной форме в срок не позднее одного рабочего дня со дня возникновения изменений.</w:t>
      </w:r>
    </w:p>
    <w:p w:rsidR="00042BC8" w:rsidRPr="00042BC8" w:rsidRDefault="00042BC8" w:rsidP="00042BC8">
      <w:pPr>
        <w:suppressAutoHyphens/>
        <w:jc w:val="both"/>
        <w:rPr>
          <w:lang w:eastAsia="ar-SA"/>
        </w:rPr>
      </w:pPr>
      <w:r w:rsidRPr="00042BC8">
        <w:rPr>
          <w:lang w:eastAsia="ar-SA"/>
        </w:rPr>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(инвалида) не допускается).</w:t>
      </w:r>
    </w:p>
    <w:p w:rsidR="00042BC8" w:rsidRPr="00042BC8" w:rsidRDefault="00042BC8" w:rsidP="00042BC8">
      <w:pPr>
        <w:jc w:val="both"/>
      </w:pPr>
      <w:r w:rsidRPr="00042BC8">
        <w:lastRenderedPageBreak/>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042BC8" w:rsidRPr="00042BC8" w:rsidRDefault="00042BC8" w:rsidP="00042BC8">
      <w:pPr>
        <w:tabs>
          <w:tab w:val="left" w:pos="9724"/>
        </w:tabs>
        <w:ind w:right="10"/>
        <w:jc w:val="both"/>
      </w:pPr>
      <w:r w:rsidRPr="00042BC8">
        <w:t xml:space="preserve">2.3. Обеспечить возможность выдачи Изделий со дня, следующего за днем заключения государственного контракта. </w:t>
      </w:r>
    </w:p>
    <w:p w:rsidR="00042BC8" w:rsidRPr="00042BC8" w:rsidRDefault="00042BC8" w:rsidP="00042BC8">
      <w:pPr>
        <w:jc w:val="both"/>
      </w:pPr>
      <w:r w:rsidRPr="00042BC8">
        <w:t xml:space="preserve">2.4. Давать справки Получателям по вопросам, связанным с поставкой Изделий. Для звонков Получателей должен быть выделен телефонный номер, указанный в приложении к государственному контракту. </w:t>
      </w:r>
    </w:p>
    <w:p w:rsidR="00042BC8" w:rsidRPr="00042BC8" w:rsidRDefault="00042BC8" w:rsidP="00042BC8">
      <w:pPr>
        <w:jc w:val="both"/>
      </w:pPr>
      <w:r w:rsidRPr="00042BC8">
        <w:t xml:space="preserve">Звонки с городских номеров Санкт-Петербурга должны быть бесплатными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исключается возможность взимания оплаты за звонки Поставщиком. </w:t>
      </w:r>
    </w:p>
    <w:p w:rsidR="00042BC8" w:rsidRPr="00042BC8" w:rsidRDefault="00042BC8" w:rsidP="00042BC8">
      <w:pPr>
        <w:jc w:val="both"/>
      </w:pPr>
      <w:r w:rsidRPr="00042BC8">
        <w:t>2.5. Вести аудиозаписи телефонных разговоров с Получателями по вопросам получения Изделий. По требованию Заказчика Исполнитель обязан предоставлять такие аудиозаписи.</w:t>
      </w:r>
    </w:p>
    <w:p w:rsidR="00042BC8" w:rsidRPr="00042BC8" w:rsidRDefault="00042BC8" w:rsidP="00042BC8">
      <w:pPr>
        <w:jc w:val="both"/>
      </w:pPr>
      <w:r w:rsidRPr="00042BC8">
        <w:t>Вести журнал телефонных звонков из реестра Получателей Изделий (передается Заказчиком по мере формирования) с пометкой о времени звонка, результате звонка и выборе инвалидами способа, места и времени доставки Изделия.</w:t>
      </w:r>
    </w:p>
    <w:p w:rsidR="00042BC8" w:rsidRPr="00042BC8" w:rsidRDefault="00042BC8" w:rsidP="00042BC8">
      <w:pPr>
        <w:jc w:val="both"/>
      </w:pPr>
      <w:r w:rsidRPr="00042BC8">
        <w:t>Предоставлять Заказчику в рамках подтверждения исполнения государственного контракта журнал телефонных звонков.</w:t>
      </w:r>
    </w:p>
    <w:p w:rsidR="00042BC8" w:rsidRPr="00042BC8" w:rsidRDefault="00042BC8" w:rsidP="00042BC8">
      <w:pPr>
        <w:jc w:val="both"/>
        <w:rPr>
          <w:rFonts w:ascii="Times New Roman CYR" w:hAnsi="Times New Roman CYR" w:cs="Times New Roman CYR"/>
        </w:rPr>
      </w:pPr>
      <w:r w:rsidRPr="00042BC8">
        <w:t xml:space="preserve">2.6. </w:t>
      </w:r>
      <w:r w:rsidRPr="00042BC8">
        <w:rPr>
          <w:rFonts w:ascii="Times New Roman CYR" w:hAnsi="Times New Roman CYR" w:cs="Times New Roman CYR"/>
        </w:rPr>
        <w:t xml:space="preserve">Осуществлять передачу Изделий (в комплектации в соответствии с настоящим техническим заданием), подобранных </w:t>
      </w:r>
      <w:r w:rsidRPr="00042BC8">
        <w:t xml:space="preserve">врачом-урологом </w:t>
      </w:r>
      <w:r w:rsidRPr="00042BC8">
        <w:rPr>
          <w:rFonts w:ascii="Times New Roman CYR" w:hAnsi="Times New Roman CYR" w:cs="Times New Roman CYR"/>
        </w:rPr>
        <w:t xml:space="preserve">или врачом-онкологом в зависимости от вида имеющейся патологии, функциональных нарушений, особенностей течения заболевания, вида, формы и размера </w:t>
      </w:r>
      <w:proofErr w:type="spellStart"/>
      <w:r w:rsidRPr="00042BC8">
        <w:rPr>
          <w:rFonts w:ascii="Times New Roman CYR" w:hAnsi="Times New Roman CYR" w:cs="Times New Roman CYR"/>
        </w:rPr>
        <w:t>стомы</w:t>
      </w:r>
      <w:proofErr w:type="spellEnd"/>
      <w:r w:rsidRPr="00042BC8">
        <w:rPr>
          <w:rFonts w:ascii="Times New Roman CYR" w:hAnsi="Times New Roman CYR" w:cs="Times New Roman CYR"/>
        </w:rPr>
        <w:t xml:space="preserve">, состояния кожи вокруг неё, </w:t>
      </w:r>
      <w:r w:rsidRPr="00042BC8">
        <w:t xml:space="preserve">вида нарушения (задержка мочи) и уровня физической активности </w:t>
      </w:r>
      <w:r w:rsidRPr="00042BC8">
        <w:rPr>
          <w:rFonts w:ascii="Times New Roman CYR" w:hAnsi="Times New Roman CYR" w:cs="Times New Roman CYR"/>
        </w:rPr>
        <w:t xml:space="preserve">по месту нахождения пунктов - в день обращения Получателей, либо с доставкой на дом - </w:t>
      </w:r>
      <w:r w:rsidRPr="00042BC8">
        <w:rPr>
          <w:lang w:eastAsia="ar-SA"/>
        </w:rPr>
        <w:t>в срок не более 5 (пяти) рабочих дней со дня получения от Получателя направления и письменного заявления в адрес поставщика с указанием адреса доставки и телефона</w:t>
      </w:r>
      <w:r w:rsidRPr="00042BC8">
        <w:rPr>
          <w:rFonts w:ascii="Times New Roman CYR" w:hAnsi="Times New Roman CYR" w:cs="Times New Roman CYR"/>
        </w:rPr>
        <w:t>.</w:t>
      </w:r>
    </w:p>
    <w:p w:rsidR="00042BC8" w:rsidRPr="00042BC8" w:rsidRDefault="00042BC8" w:rsidP="00042BC8">
      <w:pPr>
        <w:jc w:val="both"/>
      </w:pPr>
      <w:r w:rsidRPr="00042BC8">
        <w:t xml:space="preserve">2.7. Давать справки Получателям по вопросам, связанным с поставкой Изделий, в часы работы пунктов приема. </w:t>
      </w:r>
    </w:p>
    <w:p w:rsidR="00042BC8" w:rsidRPr="00042BC8" w:rsidRDefault="00042BC8" w:rsidP="00042BC8"/>
    <w:p w:rsidR="00042BC8" w:rsidRPr="00042BC8" w:rsidRDefault="00042BC8" w:rsidP="00042BC8">
      <w:pPr>
        <w:suppressAutoHyphens/>
        <w:spacing w:line="240" w:lineRule="atLeast"/>
        <w:jc w:val="both"/>
        <w:rPr>
          <w:b/>
        </w:rPr>
      </w:pPr>
      <w:r w:rsidRPr="00042BC8">
        <w:rPr>
          <w:b/>
        </w:rPr>
        <w:t>3. Способ поставки:</w:t>
      </w:r>
    </w:p>
    <w:p w:rsidR="00042BC8" w:rsidRPr="00042BC8" w:rsidRDefault="00042BC8" w:rsidP="00042BC8">
      <w:pPr>
        <w:suppressAutoHyphens/>
        <w:spacing w:line="240" w:lineRule="atLeast"/>
        <w:jc w:val="both"/>
      </w:pPr>
      <w:r w:rsidRPr="00042BC8">
        <w:t xml:space="preserve">3.1. Поставщик передает Изделия Получателям следующими способами: </w:t>
      </w:r>
    </w:p>
    <w:p w:rsidR="00042BC8" w:rsidRPr="00042BC8" w:rsidRDefault="00042BC8" w:rsidP="00042BC8">
      <w:pPr>
        <w:suppressAutoHyphens/>
        <w:spacing w:line="240" w:lineRule="atLeast"/>
        <w:jc w:val="both"/>
      </w:pPr>
      <w:r w:rsidRPr="00042BC8">
        <w:t>- по месту нахождения пунктов приема, организованных Поставщиком, в день обращения Получателя,</w:t>
      </w:r>
    </w:p>
    <w:p w:rsidR="00042BC8" w:rsidRPr="00042BC8" w:rsidRDefault="00042BC8" w:rsidP="00042BC8">
      <w:pPr>
        <w:suppressAutoHyphens/>
        <w:spacing w:line="240" w:lineRule="atLeast"/>
        <w:jc w:val="both"/>
      </w:pPr>
      <w:r w:rsidRPr="00042BC8">
        <w:t xml:space="preserve">- по месту нахождения Получателя. </w:t>
      </w:r>
    </w:p>
    <w:p w:rsidR="00042BC8" w:rsidRPr="00042BC8" w:rsidRDefault="00042BC8" w:rsidP="00042BC8">
      <w:pPr>
        <w:jc w:val="both"/>
      </w:pPr>
      <w:r w:rsidRPr="00042BC8">
        <w:t>Поставщик обязан предоставлять Получателям право выбора способа получения Изделия (по месту жительства Получателя или по месту нахождения пункта (пунктов) приема).</w:t>
      </w:r>
    </w:p>
    <w:p w:rsidR="00042BC8" w:rsidRPr="00042BC8" w:rsidRDefault="00042BC8" w:rsidP="00042BC8">
      <w:pPr>
        <w:suppressAutoHyphens/>
        <w:spacing w:line="240" w:lineRule="atLeast"/>
        <w:jc w:val="both"/>
      </w:pPr>
      <w:r w:rsidRPr="00042BC8">
        <w:t xml:space="preserve">3.2.1. Пункты приема должны быть организованы не позднее 1(одного) дня с момента заключения государственного контракта и действовать до выдачи всего предусмотренного контрактом объема Изделий. Не позднее указанного срока Поставщик передает Заказчику документы, подтверждающие право Поставщика использовать помещения пунктов выдачи, адреса и график работы пунктов. </w:t>
      </w:r>
    </w:p>
    <w:p w:rsidR="00042BC8" w:rsidRPr="00042BC8" w:rsidRDefault="00042BC8" w:rsidP="00042BC8">
      <w:pPr>
        <w:jc w:val="both"/>
      </w:pPr>
      <w:r w:rsidRPr="00042BC8">
        <w:t>Количество пунктов – не менее 7 (семи) расположенных на территории разных районов Санкт-Петербурга.  При этом не менее чем один пункт приема получателей должен быть организован на территории Санкт-Петербурга на расстоянии шаговой доступности для получателей от станции метрополитена не более 500 метров в соответствии с п.6.29 «СНиП 2.07.01-89* Градостроительство. Планировка и застройка городских и сельских поселений». Максимальное время ожидания Получателей в очереди не должно превышать 15 минут.</w:t>
      </w:r>
    </w:p>
    <w:p w:rsidR="00042BC8" w:rsidRPr="00042BC8" w:rsidRDefault="00042BC8" w:rsidP="00042BC8">
      <w:pPr>
        <w:suppressAutoHyphens/>
        <w:spacing w:line="240" w:lineRule="atLeast"/>
        <w:jc w:val="both"/>
      </w:pPr>
      <w:r w:rsidRPr="00042BC8">
        <w:t>3.2.2. Вход в каждый пункт приема должен быть обозначен надписью (например, "Пункт выдачи ТСР для инвалидов"), позволяющей однозначно определить место нахождения указанного пункта.</w:t>
      </w:r>
    </w:p>
    <w:p w:rsidR="00042BC8" w:rsidRPr="00042BC8" w:rsidRDefault="00042BC8" w:rsidP="00042BC8">
      <w:pPr>
        <w:jc w:val="both"/>
      </w:pPr>
      <w:r w:rsidRPr="00042BC8">
        <w:lastRenderedPageBreak/>
        <w:t>Проход в пункты приема и передвижение по ним должны быть беспрепятственны для инвалидов (в случае необходимости, пункты приема должны быть оборудованы пандусами или иными приспособлениями для облегчения передвижения инвалидов). Пункты приема должны иметь туалетные комнаты, оборудованные для посещения инвалидами, со свободным и бесплатным доступом Получателей.</w:t>
      </w:r>
    </w:p>
    <w:p w:rsidR="00042BC8" w:rsidRPr="00042BC8" w:rsidRDefault="00042BC8" w:rsidP="00042BC8">
      <w:pPr>
        <w:jc w:val="both"/>
      </w:pPr>
      <w:r w:rsidRPr="00042BC8">
        <w:t>3.2.3. В случае выбора Получателем способа получения Изделия по месту нахождения пунктов приема, организованных Поставщиком, передача Изделия Получателю осуществляется в день обращения Получателя в пункт приема с направлением. На отрывном талоне направления Поставщик в обязательном порядке проставляет дату обращения Получателя.</w:t>
      </w:r>
    </w:p>
    <w:p w:rsidR="00042BC8" w:rsidRPr="00042BC8" w:rsidRDefault="00042BC8" w:rsidP="00042BC8">
      <w:pPr>
        <w:jc w:val="both"/>
      </w:pPr>
      <w:r w:rsidRPr="00042BC8">
        <w:t>3.2.4. Передача Изделий Получателям должна производиться в каждом из пунктов приема не менее 5 (пяти) дней в неделю, не менее 40 (сорока) часов в неделю, при этом время работы каждого из пунктов должно попадать в интервал с 08:00 до 22:00.</w:t>
      </w:r>
    </w:p>
    <w:p w:rsidR="00042BC8" w:rsidRPr="00042BC8" w:rsidRDefault="00042BC8" w:rsidP="00042BC8">
      <w:pPr>
        <w:suppressAutoHyphens/>
        <w:spacing w:line="240" w:lineRule="atLeast"/>
        <w:jc w:val="both"/>
      </w:pPr>
      <w:r w:rsidRPr="00042BC8">
        <w:t>3.3. В случае выбора Получателем способа получения Изделия путем передачи Изделий по месту нахождения Получателя, такая доставка осуществляется Поставщиком в пределах административной границы субъекта, не менее чем с 10:00 до 21:00 с понедельника по пятницу, по предварительной записи по телефону, указанному в приложении к государственному контракту. Такая доставка осуществляется в срок, согласованный с Получателем, но не более 5 рабочих дней с даты обращения Получателя.</w:t>
      </w:r>
    </w:p>
    <w:p w:rsidR="00042BC8" w:rsidRPr="00042BC8" w:rsidRDefault="00042BC8" w:rsidP="00042BC8">
      <w:pPr>
        <w:jc w:val="both"/>
      </w:pPr>
      <w:r w:rsidRPr="00042BC8">
        <w:t>Поставщик обязан информировать Заказчика о невозможности доставки Изделия Получателю не позднее дня, следующего за днем доставки, согласованным с Получателем.</w:t>
      </w:r>
    </w:p>
    <w:p w:rsidR="00042BC8" w:rsidRPr="00042BC8" w:rsidRDefault="00042BC8" w:rsidP="00042BC8">
      <w:pPr>
        <w:jc w:val="both"/>
      </w:pPr>
    </w:p>
    <w:p w:rsidR="00042BC8" w:rsidRPr="00042BC8" w:rsidRDefault="00042BC8" w:rsidP="00042BC8">
      <w:pPr>
        <w:jc w:val="both"/>
      </w:pPr>
      <w:r w:rsidRPr="00042BC8">
        <w:t>4. Заказчик вправе произвести выборочную проверку Изделий и соответствия пунктов приема требованиям государственного контракта начиная со дня, следующего за днем заключения контракта.</w:t>
      </w:r>
    </w:p>
    <w:p w:rsidR="00042BC8" w:rsidRPr="00042BC8" w:rsidRDefault="00042BC8" w:rsidP="00042BC8">
      <w:pPr>
        <w:jc w:val="both"/>
      </w:pPr>
      <w:r w:rsidRPr="00042BC8">
        <w:t>При проведении выборочной проверки Заказчик вправе осуществлять видеозапись.</w:t>
      </w:r>
    </w:p>
    <w:p w:rsidR="00042BC8" w:rsidRPr="00042BC8" w:rsidRDefault="00042BC8" w:rsidP="00042BC8">
      <w:pPr>
        <w:tabs>
          <w:tab w:val="left" w:pos="9724"/>
        </w:tabs>
        <w:ind w:right="10"/>
        <w:jc w:val="both"/>
        <w:rPr>
          <w:spacing w:val="-4"/>
        </w:rPr>
      </w:pPr>
      <w:r w:rsidRPr="00042BC8">
        <w:rPr>
          <w:spacing w:val="-4"/>
        </w:rPr>
        <w:t xml:space="preserve">Обеспечить наличие Изделий в пунктах приема для выбора Получателей следующим образом: на день, следующий за днем заключения государственного контракта, в </w:t>
      </w:r>
      <w:r w:rsidRPr="00042BC8">
        <w:t xml:space="preserve">пунктах </w:t>
      </w:r>
      <w:r w:rsidRPr="00042BC8">
        <w:rPr>
          <w:spacing w:val="-4"/>
        </w:rPr>
        <w:t>приема в совокупности должно находиться не менее чем 1/2 часть от общего количества Изделий, предусмотренных в государственном контракте, по наименованиям и типам Изделий в процентном соотношении. При этом типы Изделий должны быть в равном процентном соотношении друг к другу в пределах каждого наименования.</w:t>
      </w:r>
    </w:p>
    <w:p w:rsidR="00042BC8" w:rsidRPr="00042BC8" w:rsidRDefault="00042BC8" w:rsidP="00042BC8">
      <w:pPr>
        <w:jc w:val="both"/>
        <w:rPr>
          <w:spacing w:val="-4"/>
        </w:rPr>
      </w:pPr>
      <w:r w:rsidRPr="00042BC8">
        <w:rPr>
          <w:spacing w:val="-4"/>
        </w:rPr>
        <w:t>Если в ходе исполнения государственного контракта, оставшиеся к поставке Изделия, составляют менее 1/2 части от общего количества Изделий, предусмотренных в государственном контракте, по наименованиям и типам Изделий в процентном отношении, то в пунктах приема должны находиться все оставшиеся к поставке Изделия.</w:t>
      </w:r>
    </w:p>
    <w:p w:rsidR="00042BC8" w:rsidRPr="00042BC8" w:rsidRDefault="00042BC8" w:rsidP="00042BC8">
      <w:pPr>
        <w:tabs>
          <w:tab w:val="left" w:pos="9724"/>
        </w:tabs>
        <w:ind w:right="10"/>
        <w:jc w:val="both"/>
      </w:pPr>
      <w:r w:rsidRPr="00042BC8">
        <w:t xml:space="preserve">При этом в рамках исполнения государственного контракта в </w:t>
      </w:r>
      <w:r w:rsidRPr="00042BC8">
        <w:rPr>
          <w:spacing w:val="-4"/>
        </w:rPr>
        <w:t xml:space="preserve">пунктах </w:t>
      </w:r>
      <w:r w:rsidRPr="00042BC8">
        <w:t>приема ежедневно должны находиться Изделия всех наименований и типов до полной выдачи Изделий каждого наименования.</w:t>
      </w:r>
    </w:p>
    <w:p w:rsidR="00E4176C" w:rsidRPr="00042BC8" w:rsidRDefault="00E4176C"/>
    <w:sectPr w:rsidR="00E4176C" w:rsidRPr="00042BC8" w:rsidSect="00042BC8">
      <w:pgSz w:w="11906" w:h="16838"/>
      <w:pgMar w:top="851" w:right="737" w:bottom="85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173" w:rsidRDefault="003E1173" w:rsidP="00042BC8">
      <w:r>
        <w:separator/>
      </w:r>
    </w:p>
  </w:endnote>
  <w:endnote w:type="continuationSeparator" w:id="0">
    <w:p w:rsidR="003E1173" w:rsidRDefault="003E1173" w:rsidP="00042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173" w:rsidRDefault="003E1173" w:rsidP="00042BC8">
      <w:r>
        <w:separator/>
      </w:r>
    </w:p>
  </w:footnote>
  <w:footnote w:type="continuationSeparator" w:id="0">
    <w:p w:rsidR="003E1173" w:rsidRDefault="003E1173" w:rsidP="00042BC8">
      <w:r>
        <w:continuationSeparator/>
      </w:r>
    </w:p>
  </w:footnote>
  <w:footnote w:id="1">
    <w:p w:rsidR="00042BC8" w:rsidRPr="004D2FEC" w:rsidRDefault="00042BC8" w:rsidP="00042BC8">
      <w:pPr>
        <w:autoSpaceDE w:val="0"/>
        <w:autoSpaceDN w:val="0"/>
        <w:adjustRightInd w:val="0"/>
        <w:ind w:firstLine="539"/>
        <w:jc w:val="both"/>
        <w:rPr>
          <w:sz w:val="20"/>
          <w:szCs w:val="20"/>
        </w:rPr>
      </w:pPr>
      <w:r>
        <w:rPr>
          <w:rStyle w:val="a5"/>
        </w:rPr>
        <w:footnoteRef/>
      </w:r>
      <w:r>
        <w:t xml:space="preserve"> </w:t>
      </w:r>
      <w:r w:rsidRPr="004D2FEC">
        <w:rPr>
          <w:sz w:val="20"/>
          <w:szCs w:val="20"/>
        </w:rPr>
        <w:t>Показатели</w:t>
      </w:r>
      <w:r w:rsidRPr="004D2FEC">
        <w:rPr>
          <w:b/>
          <w:sz w:val="20"/>
          <w:szCs w:val="20"/>
        </w:rPr>
        <w:t xml:space="preserve"> </w:t>
      </w:r>
      <w:r w:rsidRPr="004D2FEC">
        <w:rPr>
          <w:sz w:val="20"/>
          <w:szCs w:val="20"/>
        </w:rPr>
        <w:t xml:space="preserve">характеристик указаны без учета допустимых отклонений, устанавливаемых производителем. </w:t>
      </w:r>
    </w:p>
    <w:p w:rsidR="00042BC8" w:rsidRDefault="00042BC8" w:rsidP="00042BC8">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A81"/>
    <w:rsid w:val="00042BC8"/>
    <w:rsid w:val="00111A81"/>
    <w:rsid w:val="003E1173"/>
    <w:rsid w:val="00BE2646"/>
    <w:rsid w:val="00DC5849"/>
    <w:rsid w:val="00E41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B4B2E-1708-4B09-ADE7-353B5B619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BC8"/>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042BC8"/>
    <w:rPr>
      <w:rFonts w:eastAsia="Times New Roman"/>
      <w:sz w:val="20"/>
      <w:szCs w:val="20"/>
    </w:rPr>
  </w:style>
  <w:style w:type="character" w:customStyle="1" w:styleId="a4">
    <w:name w:val="Текст сноски Знак"/>
    <w:basedOn w:val="a0"/>
    <w:link w:val="a3"/>
    <w:semiHidden/>
    <w:rsid w:val="00042BC8"/>
    <w:rPr>
      <w:rFonts w:ascii="Times New Roman" w:eastAsia="Times New Roman" w:hAnsi="Times New Roman" w:cs="Times New Roman"/>
      <w:sz w:val="20"/>
      <w:szCs w:val="20"/>
      <w:lang w:eastAsia="ru-RU"/>
    </w:rPr>
  </w:style>
  <w:style w:type="character" w:styleId="a5">
    <w:name w:val="footnote reference"/>
    <w:semiHidden/>
    <w:rsid w:val="00042B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39D0F-844C-4916-B3A6-0FCDEDD5A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1554</Words>
  <Characters>8863</Characters>
  <Application>Microsoft Office Word</Application>
  <DocSecurity>0</DocSecurity>
  <Lines>73</Lines>
  <Paragraphs>20</Paragraphs>
  <ScaleCrop>false</ScaleCrop>
  <Company/>
  <LinksUpToDate>false</LinksUpToDate>
  <CharactersWithSpaces>10397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Чебанова</dc:creator>
  <cp:keywords/>
  <dc:description/>
  <cp:lastModifiedBy>Татьяна Чебанова</cp:lastModifiedBy>
  <cp:revision>3</cp:revision>
  <dcterms:created xsi:type="dcterms:W3CDTF">2018-12-04T07:18:00Z</dcterms:created>
  <dcterms:modified xsi:type="dcterms:W3CDTF">2018-12-04T07:22:00Z</dcterms:modified>
</cp:coreProperties>
</file>