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5E" w:rsidRPr="000D0E5E" w:rsidRDefault="000D0E5E" w:rsidP="000D0E5E">
      <w:pPr>
        <w:widowControl w:val="0"/>
        <w:autoSpaceDE w:val="0"/>
        <w:jc w:val="both"/>
      </w:pPr>
      <w:r w:rsidRPr="000D0E5E">
        <w:rPr>
          <w:b/>
          <w:bCs/>
        </w:rPr>
        <w:t>Срок поставки:</w:t>
      </w:r>
      <w:r w:rsidRPr="000D0E5E">
        <w:t xml:space="preserve"> со дня, следующего за днем заключения государственного контракта, до 10.12.2019 включительно.</w:t>
      </w:r>
    </w:p>
    <w:p w:rsidR="000D0E5E" w:rsidRPr="000D0E5E" w:rsidRDefault="000D0E5E" w:rsidP="000D0E5E">
      <w:pPr>
        <w:jc w:val="both"/>
      </w:pPr>
    </w:p>
    <w:p w:rsidR="000D0E5E" w:rsidRPr="000D0E5E" w:rsidRDefault="000D0E5E" w:rsidP="000D0E5E">
      <w:pPr>
        <w:spacing w:line="240" w:lineRule="atLeast"/>
        <w:jc w:val="both"/>
        <w:rPr>
          <w:b/>
        </w:rPr>
      </w:pPr>
      <w:r w:rsidRPr="000D0E5E">
        <w:rPr>
          <w:b/>
        </w:rPr>
        <w:t>1. Поставляемые Изделия должны отвечать следующим требованиям:</w:t>
      </w:r>
    </w:p>
    <w:p w:rsidR="000D0E5E" w:rsidRPr="000D0E5E" w:rsidRDefault="000D0E5E" w:rsidP="000D0E5E">
      <w:pPr>
        <w:jc w:val="both"/>
      </w:pPr>
      <w:r w:rsidRPr="000D0E5E">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РФ от 07.02.1992 № 2300-1 «О защите прав потребителей»).</w:t>
      </w:r>
    </w:p>
    <w:p w:rsidR="000D0E5E" w:rsidRPr="000D0E5E" w:rsidRDefault="000D0E5E" w:rsidP="000D0E5E">
      <w:pPr>
        <w:jc w:val="both"/>
      </w:pPr>
      <w:r w:rsidRPr="000D0E5E">
        <w:t>1.2. Изделия должны быть новыми. Изделия должны быть свободными от прав третьих лиц.</w:t>
      </w:r>
    </w:p>
    <w:p w:rsidR="000D0E5E" w:rsidRPr="000D0E5E" w:rsidRDefault="000D0E5E" w:rsidP="000D0E5E">
      <w:pPr>
        <w:jc w:val="both"/>
      </w:pPr>
      <w:r w:rsidRPr="000D0E5E">
        <w:t xml:space="preserve">1.3. </w:t>
      </w:r>
      <w:r w:rsidRPr="000D0E5E">
        <w:rPr>
          <w:lang w:eastAsia="ar-SA"/>
        </w:rPr>
        <w:t>Изделия должны отвечать следующим требованиям</w:t>
      </w:r>
      <w:r w:rsidRPr="000D0E5E">
        <w:rPr>
          <w:rStyle w:val="a5"/>
        </w:rPr>
        <w:t xml:space="preserve"> </w:t>
      </w:r>
      <w:r w:rsidRPr="000D0E5E">
        <w:rPr>
          <w:rStyle w:val="a5"/>
        </w:rPr>
        <w:footnoteReference w:id="1"/>
      </w:r>
      <w:r w:rsidRPr="000D0E5E">
        <w:t>:</w:t>
      </w:r>
    </w:p>
    <w:p w:rsidR="000D0E5E" w:rsidRPr="000D0E5E" w:rsidRDefault="000D0E5E" w:rsidP="000D0E5E">
      <w:pPr>
        <w:widowControl w:val="0"/>
        <w:jc w:val="both"/>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981"/>
        <w:gridCol w:w="2555"/>
        <w:gridCol w:w="1739"/>
        <w:gridCol w:w="2126"/>
        <w:gridCol w:w="992"/>
      </w:tblGrid>
      <w:tr w:rsidR="000D0E5E" w:rsidRPr="000D0E5E" w:rsidTr="009C2F07">
        <w:trPr>
          <w:trHeight w:val="157"/>
          <w:jc w:val="center"/>
        </w:trPr>
        <w:tc>
          <w:tcPr>
            <w:tcW w:w="628" w:type="dxa"/>
            <w:shd w:val="clear" w:color="auto" w:fill="auto"/>
          </w:tcPr>
          <w:p w:rsidR="000D0E5E" w:rsidRPr="000D0E5E" w:rsidRDefault="000D0E5E" w:rsidP="009C2F07">
            <w:pPr>
              <w:widowControl w:val="0"/>
              <w:suppressAutoHyphens/>
              <w:jc w:val="both"/>
              <w:rPr>
                <w:lang w:eastAsia="ar-SA"/>
              </w:rPr>
            </w:pPr>
            <w:r w:rsidRPr="000D0E5E">
              <w:rPr>
                <w:lang w:eastAsia="ar-SA"/>
              </w:rPr>
              <w:t>№ п/п</w:t>
            </w:r>
          </w:p>
        </w:tc>
        <w:tc>
          <w:tcPr>
            <w:tcW w:w="1981" w:type="dxa"/>
            <w:shd w:val="clear" w:color="auto" w:fill="auto"/>
          </w:tcPr>
          <w:p w:rsidR="000D0E5E" w:rsidRPr="000D0E5E" w:rsidRDefault="000D0E5E" w:rsidP="009C2F07">
            <w:pPr>
              <w:widowControl w:val="0"/>
              <w:tabs>
                <w:tab w:val="left" w:pos="0"/>
              </w:tabs>
              <w:suppressAutoHyphens/>
              <w:snapToGrid w:val="0"/>
              <w:jc w:val="center"/>
            </w:pPr>
            <w:r w:rsidRPr="000D0E5E">
              <w:t>Наименование Изделия</w:t>
            </w:r>
          </w:p>
        </w:tc>
        <w:tc>
          <w:tcPr>
            <w:tcW w:w="2555" w:type="dxa"/>
            <w:shd w:val="clear" w:color="auto" w:fill="auto"/>
          </w:tcPr>
          <w:p w:rsidR="000D0E5E" w:rsidRPr="000D0E5E" w:rsidRDefault="000D0E5E" w:rsidP="009C2F07">
            <w:pPr>
              <w:widowControl w:val="0"/>
              <w:tabs>
                <w:tab w:val="left" w:pos="0"/>
              </w:tabs>
              <w:suppressAutoHyphens/>
              <w:snapToGrid w:val="0"/>
              <w:jc w:val="center"/>
            </w:pPr>
            <w:r w:rsidRPr="000D0E5E">
              <w:t>Наименование характеристики Изделия</w:t>
            </w:r>
          </w:p>
        </w:tc>
        <w:tc>
          <w:tcPr>
            <w:tcW w:w="1739" w:type="dxa"/>
            <w:shd w:val="clear" w:color="auto" w:fill="auto"/>
          </w:tcPr>
          <w:p w:rsidR="000D0E5E" w:rsidRPr="000D0E5E" w:rsidRDefault="000D0E5E" w:rsidP="009C2F07">
            <w:pPr>
              <w:widowControl w:val="0"/>
              <w:tabs>
                <w:tab w:val="left" w:pos="0"/>
              </w:tabs>
              <w:suppressAutoHyphens/>
              <w:snapToGrid w:val="0"/>
              <w:jc w:val="center"/>
              <w:rPr>
                <w:bCs/>
              </w:rPr>
            </w:pPr>
            <w:r w:rsidRPr="000D0E5E">
              <w:t>Показатель характеристики</w:t>
            </w:r>
          </w:p>
        </w:tc>
        <w:tc>
          <w:tcPr>
            <w:tcW w:w="2126" w:type="dxa"/>
          </w:tcPr>
          <w:p w:rsidR="000D0E5E" w:rsidRPr="000D0E5E" w:rsidRDefault="000D0E5E" w:rsidP="009C2F07">
            <w:pPr>
              <w:widowControl w:val="0"/>
              <w:suppressAutoHyphens/>
              <w:jc w:val="center"/>
            </w:pPr>
            <w:r w:rsidRPr="000D0E5E">
              <w:t>ГОСТ, технический регламент\обоснование использования показателя (в том числе его характеристика)</w:t>
            </w:r>
          </w:p>
        </w:tc>
        <w:tc>
          <w:tcPr>
            <w:tcW w:w="992" w:type="dxa"/>
            <w:shd w:val="clear" w:color="auto" w:fill="auto"/>
          </w:tcPr>
          <w:p w:rsidR="000D0E5E" w:rsidRPr="000D0E5E" w:rsidRDefault="000D0E5E" w:rsidP="009C2F07">
            <w:pPr>
              <w:widowControl w:val="0"/>
              <w:suppressAutoHyphens/>
              <w:jc w:val="center"/>
            </w:pPr>
            <w:r w:rsidRPr="000D0E5E">
              <w:t>Количество</w:t>
            </w:r>
          </w:p>
          <w:p w:rsidR="000D0E5E" w:rsidRPr="000D0E5E" w:rsidRDefault="000D0E5E" w:rsidP="009C2F07">
            <w:pPr>
              <w:widowControl w:val="0"/>
              <w:suppressAutoHyphens/>
              <w:jc w:val="center"/>
            </w:pPr>
          </w:p>
        </w:tc>
      </w:tr>
      <w:tr w:rsidR="000D0E5E" w:rsidRPr="000D0E5E" w:rsidTr="009C2F07">
        <w:trPr>
          <w:trHeight w:val="157"/>
          <w:jc w:val="center"/>
        </w:trPr>
        <w:tc>
          <w:tcPr>
            <w:tcW w:w="628" w:type="dxa"/>
            <w:vMerge w:val="restart"/>
            <w:shd w:val="clear" w:color="auto" w:fill="auto"/>
          </w:tcPr>
          <w:p w:rsidR="000D0E5E" w:rsidRPr="000D0E5E" w:rsidRDefault="000D0E5E" w:rsidP="009C2F07">
            <w:pPr>
              <w:widowControl w:val="0"/>
              <w:suppressAutoHyphens/>
              <w:jc w:val="both"/>
              <w:rPr>
                <w:lang w:eastAsia="ar-SA"/>
              </w:rPr>
            </w:pPr>
            <w:r w:rsidRPr="000D0E5E">
              <w:rPr>
                <w:lang w:eastAsia="ar-SA"/>
              </w:rPr>
              <w:t>1.</w:t>
            </w:r>
          </w:p>
        </w:tc>
        <w:tc>
          <w:tcPr>
            <w:tcW w:w="1981" w:type="dxa"/>
            <w:vMerge w:val="restart"/>
            <w:shd w:val="clear" w:color="auto" w:fill="auto"/>
          </w:tcPr>
          <w:p w:rsidR="000D0E5E" w:rsidRPr="000D0E5E" w:rsidRDefault="000D0E5E" w:rsidP="009C2F07">
            <w:pPr>
              <w:widowControl w:val="0"/>
              <w:suppressAutoHyphens/>
            </w:pPr>
            <w:r w:rsidRPr="000D0E5E">
              <w:t xml:space="preserve">Система (с катетером) для </w:t>
            </w:r>
            <w:proofErr w:type="spellStart"/>
            <w:r w:rsidRPr="000D0E5E">
              <w:t>нефростомии</w:t>
            </w:r>
            <w:proofErr w:type="spellEnd"/>
          </w:p>
        </w:tc>
        <w:tc>
          <w:tcPr>
            <w:tcW w:w="2555" w:type="dxa"/>
            <w:shd w:val="clear" w:color="auto" w:fill="auto"/>
          </w:tcPr>
          <w:p w:rsidR="000D0E5E" w:rsidRPr="000D0E5E" w:rsidRDefault="000D0E5E" w:rsidP="009C2F07">
            <w:pPr>
              <w:widowControl w:val="0"/>
              <w:suppressAutoHyphens/>
            </w:pPr>
            <w:r w:rsidRPr="000D0E5E">
              <w:t>Кратность применения: однократного применения</w:t>
            </w:r>
          </w:p>
        </w:tc>
        <w:tc>
          <w:tcPr>
            <w:tcW w:w="1739" w:type="dxa"/>
            <w:shd w:val="clear" w:color="auto" w:fill="auto"/>
          </w:tcPr>
          <w:p w:rsidR="000D0E5E" w:rsidRPr="000D0E5E" w:rsidRDefault="000D0E5E" w:rsidP="009C2F07">
            <w:pPr>
              <w:widowControl w:val="0"/>
              <w:suppressAutoHyphens/>
            </w:pPr>
            <w:r w:rsidRPr="000D0E5E">
              <w:t>Наличие</w:t>
            </w:r>
          </w:p>
        </w:tc>
        <w:tc>
          <w:tcPr>
            <w:tcW w:w="2126" w:type="dxa"/>
          </w:tcPr>
          <w:p w:rsidR="000D0E5E" w:rsidRPr="000D0E5E" w:rsidRDefault="000D0E5E" w:rsidP="009C2F07">
            <w:pPr>
              <w:widowControl w:val="0"/>
              <w:suppressAutoHyphens/>
              <w:jc w:val="center"/>
            </w:pPr>
            <w:r w:rsidRPr="000D0E5E">
              <w:t>Понижает возможность распространения инфекции</w:t>
            </w:r>
          </w:p>
        </w:tc>
        <w:tc>
          <w:tcPr>
            <w:tcW w:w="992" w:type="dxa"/>
            <w:vMerge w:val="restart"/>
            <w:shd w:val="clear" w:color="auto" w:fill="auto"/>
          </w:tcPr>
          <w:p w:rsidR="000D0E5E" w:rsidRPr="000D0E5E" w:rsidRDefault="000D0E5E" w:rsidP="009C2F07">
            <w:pPr>
              <w:widowControl w:val="0"/>
              <w:suppressAutoHyphens/>
              <w:jc w:val="center"/>
            </w:pPr>
            <w:r w:rsidRPr="000D0E5E">
              <w:t>101</w:t>
            </w:r>
          </w:p>
        </w:tc>
      </w:tr>
      <w:tr w:rsidR="000D0E5E" w:rsidRPr="000D0E5E" w:rsidTr="009C2F07">
        <w:trPr>
          <w:trHeight w:val="157"/>
          <w:jc w:val="center"/>
        </w:trPr>
        <w:tc>
          <w:tcPr>
            <w:tcW w:w="628" w:type="dxa"/>
            <w:vMerge/>
            <w:shd w:val="clear" w:color="auto" w:fill="auto"/>
          </w:tcPr>
          <w:p w:rsidR="000D0E5E" w:rsidRPr="000D0E5E" w:rsidRDefault="000D0E5E" w:rsidP="009C2F07">
            <w:pPr>
              <w:widowControl w:val="0"/>
              <w:suppressAutoHyphens/>
              <w:jc w:val="both"/>
              <w:rPr>
                <w:lang w:eastAsia="ar-SA"/>
              </w:rPr>
            </w:pPr>
          </w:p>
        </w:tc>
        <w:tc>
          <w:tcPr>
            <w:tcW w:w="1981" w:type="dxa"/>
            <w:vMerge/>
            <w:shd w:val="clear" w:color="auto" w:fill="auto"/>
          </w:tcPr>
          <w:p w:rsidR="000D0E5E" w:rsidRPr="000D0E5E" w:rsidRDefault="000D0E5E" w:rsidP="009C2F07">
            <w:pPr>
              <w:suppressAutoHyphens/>
              <w:spacing w:line="240" w:lineRule="atLeast"/>
              <w:ind w:firstLine="709"/>
              <w:jc w:val="center"/>
            </w:pPr>
          </w:p>
        </w:tc>
        <w:tc>
          <w:tcPr>
            <w:tcW w:w="2555" w:type="dxa"/>
            <w:shd w:val="clear" w:color="auto" w:fill="auto"/>
          </w:tcPr>
          <w:p w:rsidR="000D0E5E" w:rsidRPr="000D0E5E" w:rsidRDefault="000D0E5E" w:rsidP="009C2F07">
            <w:pPr>
              <w:widowControl w:val="0"/>
              <w:suppressAutoHyphens/>
              <w:snapToGrid w:val="0"/>
            </w:pPr>
            <w:r w:rsidRPr="000D0E5E">
              <w:t xml:space="preserve">Элементы системы для </w:t>
            </w:r>
            <w:proofErr w:type="spellStart"/>
            <w:r w:rsidRPr="000D0E5E">
              <w:t>нефростомии</w:t>
            </w:r>
            <w:proofErr w:type="spellEnd"/>
            <w:r w:rsidRPr="000D0E5E">
              <w:t>:</w:t>
            </w:r>
          </w:p>
          <w:p w:rsidR="000D0E5E" w:rsidRPr="000D0E5E" w:rsidRDefault="000D0E5E" w:rsidP="009C2F07">
            <w:pPr>
              <w:widowControl w:val="0"/>
              <w:suppressAutoHyphens/>
              <w:snapToGrid w:val="0"/>
            </w:pPr>
            <w:r w:rsidRPr="000D0E5E">
              <w:t>- пункционная игла</w:t>
            </w:r>
          </w:p>
          <w:p w:rsidR="000D0E5E" w:rsidRPr="000D0E5E" w:rsidRDefault="000D0E5E" w:rsidP="009C2F07">
            <w:pPr>
              <w:widowControl w:val="0"/>
              <w:suppressAutoHyphens/>
              <w:snapToGrid w:val="0"/>
            </w:pPr>
            <w:r w:rsidRPr="000D0E5E">
              <w:t>- проводник</w:t>
            </w:r>
          </w:p>
          <w:p w:rsidR="000D0E5E" w:rsidRPr="000D0E5E" w:rsidRDefault="000D0E5E" w:rsidP="009C2F07">
            <w:pPr>
              <w:widowControl w:val="0"/>
              <w:suppressAutoHyphens/>
              <w:snapToGrid w:val="0"/>
            </w:pPr>
            <w:r w:rsidRPr="000D0E5E">
              <w:t xml:space="preserve">- </w:t>
            </w:r>
            <w:proofErr w:type="spellStart"/>
            <w:r w:rsidRPr="000D0E5E">
              <w:t>дилятатор</w:t>
            </w:r>
            <w:proofErr w:type="spellEnd"/>
            <w:r w:rsidRPr="000D0E5E">
              <w:t xml:space="preserve"> (расширитель)</w:t>
            </w:r>
          </w:p>
          <w:p w:rsidR="000D0E5E" w:rsidRPr="000D0E5E" w:rsidRDefault="000D0E5E" w:rsidP="009C2F07">
            <w:pPr>
              <w:widowControl w:val="0"/>
              <w:suppressAutoHyphens/>
              <w:snapToGrid w:val="0"/>
            </w:pPr>
            <w:r w:rsidRPr="000D0E5E">
              <w:t>- катетер</w:t>
            </w:r>
          </w:p>
          <w:p w:rsidR="000D0E5E" w:rsidRPr="000D0E5E" w:rsidRDefault="000D0E5E" w:rsidP="009C2F07">
            <w:pPr>
              <w:widowControl w:val="0"/>
              <w:suppressAutoHyphens/>
              <w:snapToGrid w:val="0"/>
            </w:pPr>
            <w:r w:rsidRPr="000D0E5E">
              <w:t>- накожный фиксатор</w:t>
            </w:r>
          </w:p>
          <w:p w:rsidR="000D0E5E" w:rsidRPr="000D0E5E" w:rsidRDefault="000D0E5E" w:rsidP="009C2F07">
            <w:pPr>
              <w:widowControl w:val="0"/>
              <w:suppressAutoHyphens/>
              <w:autoSpaceDE w:val="0"/>
              <w:autoSpaceDN w:val="0"/>
              <w:adjustRightInd w:val="0"/>
              <w:spacing w:line="240" w:lineRule="atLeast"/>
              <w:rPr>
                <w:bCs/>
              </w:rPr>
            </w:pPr>
          </w:p>
        </w:tc>
        <w:tc>
          <w:tcPr>
            <w:tcW w:w="1739" w:type="dxa"/>
            <w:shd w:val="clear" w:color="auto" w:fill="auto"/>
          </w:tcPr>
          <w:p w:rsidR="000D0E5E" w:rsidRPr="000D0E5E" w:rsidRDefault="000D0E5E" w:rsidP="009C2F07">
            <w:pPr>
              <w:widowControl w:val="0"/>
              <w:suppressAutoHyphens/>
              <w:snapToGrid w:val="0"/>
              <w:spacing w:line="240" w:lineRule="atLeast"/>
              <w:jc w:val="center"/>
            </w:pPr>
            <w:r w:rsidRPr="000D0E5E">
              <w:t>Наличие</w:t>
            </w:r>
          </w:p>
        </w:tc>
        <w:tc>
          <w:tcPr>
            <w:tcW w:w="2126" w:type="dxa"/>
          </w:tcPr>
          <w:p w:rsidR="000D0E5E" w:rsidRPr="000D0E5E" w:rsidRDefault="000D0E5E" w:rsidP="009C2F07">
            <w:pPr>
              <w:widowControl w:val="0"/>
              <w:suppressAutoHyphens/>
              <w:jc w:val="center"/>
            </w:pPr>
            <w:r w:rsidRPr="000D0E5E">
              <w:t xml:space="preserve">Для дренирования/ирригации мочи из чашечно-лоханочной системы почки с помощью методики </w:t>
            </w:r>
            <w:proofErr w:type="spellStart"/>
            <w:r w:rsidRPr="000D0E5E">
              <w:t>Сельдингера</w:t>
            </w:r>
            <w:proofErr w:type="spellEnd"/>
          </w:p>
          <w:p w:rsidR="000D0E5E" w:rsidRPr="000D0E5E" w:rsidRDefault="000D0E5E" w:rsidP="009C2F07">
            <w:pPr>
              <w:widowControl w:val="0"/>
              <w:suppressAutoHyphens/>
              <w:jc w:val="center"/>
            </w:pPr>
            <w:r w:rsidRPr="000D0E5E">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p w:rsidR="000D0E5E" w:rsidRPr="000D0E5E" w:rsidRDefault="000D0E5E" w:rsidP="009C2F07">
            <w:pPr>
              <w:widowControl w:val="0"/>
              <w:suppressAutoHyphens/>
              <w:jc w:val="center"/>
            </w:pPr>
            <w:r w:rsidRPr="000D0E5E">
              <w:t>Фиксация катетера</w:t>
            </w:r>
          </w:p>
          <w:p w:rsidR="000D0E5E" w:rsidRPr="000D0E5E" w:rsidRDefault="000D0E5E" w:rsidP="009C2F07">
            <w:pPr>
              <w:widowControl w:val="0"/>
              <w:suppressAutoHyphens/>
              <w:jc w:val="center"/>
            </w:pPr>
          </w:p>
        </w:tc>
        <w:tc>
          <w:tcPr>
            <w:tcW w:w="992" w:type="dxa"/>
            <w:vMerge/>
            <w:shd w:val="clear" w:color="auto" w:fill="auto"/>
          </w:tcPr>
          <w:p w:rsidR="000D0E5E" w:rsidRPr="000D0E5E" w:rsidRDefault="000D0E5E" w:rsidP="009C2F07">
            <w:pPr>
              <w:widowControl w:val="0"/>
              <w:suppressAutoHyphens/>
              <w:jc w:val="center"/>
            </w:pPr>
          </w:p>
        </w:tc>
      </w:tr>
      <w:tr w:rsidR="000D0E5E" w:rsidRPr="000D0E5E" w:rsidTr="009C2F07">
        <w:trPr>
          <w:trHeight w:val="157"/>
          <w:jc w:val="center"/>
        </w:trPr>
        <w:tc>
          <w:tcPr>
            <w:tcW w:w="628" w:type="dxa"/>
            <w:vMerge/>
            <w:shd w:val="clear" w:color="auto" w:fill="auto"/>
          </w:tcPr>
          <w:p w:rsidR="000D0E5E" w:rsidRPr="000D0E5E" w:rsidRDefault="000D0E5E" w:rsidP="009C2F07">
            <w:pPr>
              <w:widowControl w:val="0"/>
              <w:suppressAutoHyphens/>
              <w:jc w:val="both"/>
              <w:rPr>
                <w:lang w:eastAsia="ar-SA"/>
              </w:rPr>
            </w:pPr>
          </w:p>
        </w:tc>
        <w:tc>
          <w:tcPr>
            <w:tcW w:w="1981" w:type="dxa"/>
            <w:vMerge/>
            <w:shd w:val="clear" w:color="auto" w:fill="auto"/>
          </w:tcPr>
          <w:p w:rsidR="000D0E5E" w:rsidRPr="000D0E5E" w:rsidRDefault="000D0E5E" w:rsidP="009C2F07">
            <w:pPr>
              <w:suppressAutoHyphens/>
              <w:spacing w:line="240" w:lineRule="atLeast"/>
              <w:ind w:firstLine="709"/>
              <w:jc w:val="center"/>
            </w:pPr>
          </w:p>
        </w:tc>
        <w:tc>
          <w:tcPr>
            <w:tcW w:w="2555" w:type="dxa"/>
            <w:shd w:val="clear" w:color="auto" w:fill="auto"/>
          </w:tcPr>
          <w:p w:rsidR="000D0E5E" w:rsidRPr="000D0E5E" w:rsidRDefault="000D0E5E" w:rsidP="009C2F07">
            <w:pPr>
              <w:widowControl w:val="0"/>
              <w:suppressAutoHyphens/>
              <w:snapToGrid w:val="0"/>
              <w:spacing w:line="240" w:lineRule="atLeast"/>
              <w:rPr>
                <w:lang w:eastAsia="ar-SA"/>
              </w:rPr>
            </w:pPr>
            <w:r w:rsidRPr="000D0E5E">
              <w:rPr>
                <w:bCs/>
              </w:rPr>
              <w:t xml:space="preserve">Катетер </w:t>
            </w:r>
            <w:proofErr w:type="gramStart"/>
            <w:r w:rsidRPr="000D0E5E">
              <w:rPr>
                <w:bCs/>
              </w:rPr>
              <w:t>типа  «</w:t>
            </w:r>
            <w:proofErr w:type="gramEnd"/>
            <w:r w:rsidRPr="000D0E5E">
              <w:rPr>
                <w:bCs/>
              </w:rPr>
              <w:t xml:space="preserve">свиной </w:t>
            </w:r>
            <w:r w:rsidRPr="000D0E5E">
              <w:rPr>
                <w:bCs/>
              </w:rPr>
              <w:lastRenderedPageBreak/>
              <w:t>хвостик» (</w:t>
            </w:r>
            <w:r w:rsidRPr="000D0E5E">
              <w:rPr>
                <w:bCs/>
                <w:lang w:val="en-US"/>
              </w:rPr>
              <w:t>J</w:t>
            </w:r>
            <w:r w:rsidRPr="000D0E5E">
              <w:rPr>
                <w:bCs/>
              </w:rPr>
              <w:t>-тип, «</w:t>
            </w:r>
            <w:proofErr w:type="spellStart"/>
            <w:r w:rsidRPr="000D0E5E">
              <w:rPr>
                <w:bCs/>
              </w:rPr>
              <w:t>пигтейл</w:t>
            </w:r>
            <w:proofErr w:type="spellEnd"/>
            <w:r w:rsidRPr="000D0E5E">
              <w:rPr>
                <w:bCs/>
              </w:rPr>
              <w:t>», «</w:t>
            </w:r>
            <w:r w:rsidRPr="000D0E5E">
              <w:rPr>
                <w:bCs/>
                <w:lang w:val="en-US"/>
              </w:rPr>
              <w:t>pigtail</w:t>
            </w:r>
            <w:r w:rsidRPr="000D0E5E">
              <w:rPr>
                <w:bCs/>
              </w:rPr>
              <w:t xml:space="preserve">)» </w:t>
            </w:r>
          </w:p>
        </w:tc>
        <w:tc>
          <w:tcPr>
            <w:tcW w:w="1739" w:type="dxa"/>
            <w:shd w:val="clear" w:color="auto" w:fill="auto"/>
          </w:tcPr>
          <w:p w:rsidR="000D0E5E" w:rsidRPr="000D0E5E" w:rsidRDefault="000D0E5E" w:rsidP="009C2F07">
            <w:pPr>
              <w:widowControl w:val="0"/>
              <w:suppressAutoHyphens/>
              <w:snapToGrid w:val="0"/>
              <w:spacing w:line="240" w:lineRule="atLeast"/>
              <w:jc w:val="center"/>
            </w:pPr>
            <w:r w:rsidRPr="000D0E5E">
              <w:lastRenderedPageBreak/>
              <w:t>Наличие</w:t>
            </w:r>
          </w:p>
        </w:tc>
        <w:tc>
          <w:tcPr>
            <w:tcW w:w="2126" w:type="dxa"/>
          </w:tcPr>
          <w:p w:rsidR="000D0E5E" w:rsidRPr="000D0E5E" w:rsidRDefault="000D0E5E" w:rsidP="009C2F07">
            <w:pPr>
              <w:widowControl w:val="0"/>
              <w:suppressAutoHyphens/>
              <w:jc w:val="center"/>
              <w:rPr>
                <w:lang w:eastAsia="ar-SA"/>
              </w:rPr>
            </w:pPr>
            <w:r w:rsidRPr="000D0E5E">
              <w:t xml:space="preserve">Методические </w:t>
            </w:r>
            <w:r w:rsidRPr="000D0E5E">
              <w:lastRenderedPageBreak/>
              <w:t>рекомендации</w:t>
            </w:r>
          </w:p>
        </w:tc>
        <w:tc>
          <w:tcPr>
            <w:tcW w:w="992" w:type="dxa"/>
            <w:vMerge/>
            <w:shd w:val="clear" w:color="auto" w:fill="auto"/>
          </w:tcPr>
          <w:p w:rsidR="000D0E5E" w:rsidRPr="000D0E5E" w:rsidRDefault="000D0E5E" w:rsidP="009C2F07">
            <w:pPr>
              <w:widowControl w:val="0"/>
              <w:suppressAutoHyphens/>
              <w:jc w:val="center"/>
            </w:pPr>
          </w:p>
        </w:tc>
      </w:tr>
      <w:tr w:rsidR="000D0E5E" w:rsidRPr="000D0E5E" w:rsidTr="009C2F07">
        <w:trPr>
          <w:trHeight w:val="157"/>
          <w:jc w:val="center"/>
        </w:trPr>
        <w:tc>
          <w:tcPr>
            <w:tcW w:w="628" w:type="dxa"/>
            <w:vMerge/>
            <w:shd w:val="clear" w:color="auto" w:fill="auto"/>
          </w:tcPr>
          <w:p w:rsidR="000D0E5E" w:rsidRPr="000D0E5E" w:rsidRDefault="000D0E5E" w:rsidP="009C2F07">
            <w:pPr>
              <w:widowControl w:val="0"/>
              <w:suppressAutoHyphens/>
              <w:jc w:val="both"/>
              <w:rPr>
                <w:lang w:eastAsia="ar-SA"/>
              </w:rPr>
            </w:pPr>
          </w:p>
        </w:tc>
        <w:tc>
          <w:tcPr>
            <w:tcW w:w="1981" w:type="dxa"/>
            <w:vMerge/>
            <w:shd w:val="clear" w:color="auto" w:fill="auto"/>
          </w:tcPr>
          <w:p w:rsidR="000D0E5E" w:rsidRPr="000D0E5E" w:rsidRDefault="000D0E5E" w:rsidP="009C2F07">
            <w:pPr>
              <w:suppressAutoHyphens/>
              <w:spacing w:line="240" w:lineRule="atLeast"/>
              <w:ind w:firstLine="709"/>
              <w:jc w:val="center"/>
            </w:pPr>
          </w:p>
        </w:tc>
        <w:tc>
          <w:tcPr>
            <w:tcW w:w="2555" w:type="dxa"/>
            <w:shd w:val="clear" w:color="auto" w:fill="auto"/>
          </w:tcPr>
          <w:p w:rsidR="000D0E5E" w:rsidRPr="000D0E5E" w:rsidRDefault="000D0E5E" w:rsidP="009C2F07">
            <w:pPr>
              <w:widowControl w:val="0"/>
              <w:suppressAutoHyphens/>
              <w:spacing w:line="240" w:lineRule="atLeast"/>
            </w:pPr>
            <w:r w:rsidRPr="000D0E5E">
              <w:rPr>
                <w:bCs/>
              </w:rPr>
              <w:t>Материал катетера</w:t>
            </w:r>
          </w:p>
        </w:tc>
        <w:tc>
          <w:tcPr>
            <w:tcW w:w="1739" w:type="dxa"/>
            <w:shd w:val="clear" w:color="auto" w:fill="auto"/>
          </w:tcPr>
          <w:p w:rsidR="000D0E5E" w:rsidRPr="000D0E5E" w:rsidRDefault="000D0E5E" w:rsidP="009C2F07">
            <w:pPr>
              <w:widowControl w:val="0"/>
              <w:suppressAutoHyphens/>
              <w:snapToGrid w:val="0"/>
              <w:spacing w:line="240" w:lineRule="atLeast"/>
              <w:jc w:val="center"/>
              <w:rPr>
                <w:lang w:eastAsia="ar-SA"/>
              </w:rPr>
            </w:pPr>
            <w:r w:rsidRPr="000D0E5E">
              <w:rPr>
                <w:lang w:eastAsia="ar-SA"/>
              </w:rPr>
              <w:t>Силикон или полиуретан</w:t>
            </w:r>
          </w:p>
        </w:tc>
        <w:tc>
          <w:tcPr>
            <w:tcW w:w="2126" w:type="dxa"/>
          </w:tcPr>
          <w:p w:rsidR="000D0E5E" w:rsidRPr="000D0E5E" w:rsidRDefault="000D0E5E" w:rsidP="009C2F07">
            <w:pPr>
              <w:widowControl w:val="0"/>
              <w:suppressAutoHyphens/>
              <w:jc w:val="center"/>
              <w:rPr>
                <w:lang w:eastAsia="ar-SA"/>
              </w:rPr>
            </w:pPr>
            <w:r w:rsidRPr="000D0E5E">
              <w:t>Методические рекомендации</w:t>
            </w:r>
          </w:p>
        </w:tc>
        <w:tc>
          <w:tcPr>
            <w:tcW w:w="992" w:type="dxa"/>
            <w:vMerge/>
            <w:shd w:val="clear" w:color="auto" w:fill="auto"/>
          </w:tcPr>
          <w:p w:rsidR="000D0E5E" w:rsidRPr="000D0E5E" w:rsidRDefault="000D0E5E" w:rsidP="009C2F07">
            <w:pPr>
              <w:widowControl w:val="0"/>
              <w:suppressAutoHyphens/>
              <w:jc w:val="center"/>
            </w:pPr>
          </w:p>
        </w:tc>
      </w:tr>
      <w:tr w:rsidR="000D0E5E" w:rsidRPr="000D0E5E" w:rsidTr="009C2F07">
        <w:trPr>
          <w:trHeight w:val="157"/>
          <w:jc w:val="center"/>
        </w:trPr>
        <w:tc>
          <w:tcPr>
            <w:tcW w:w="628" w:type="dxa"/>
            <w:vMerge/>
            <w:shd w:val="clear" w:color="auto" w:fill="auto"/>
          </w:tcPr>
          <w:p w:rsidR="000D0E5E" w:rsidRPr="000D0E5E" w:rsidRDefault="000D0E5E" w:rsidP="009C2F07">
            <w:pPr>
              <w:widowControl w:val="0"/>
              <w:suppressAutoHyphens/>
              <w:jc w:val="both"/>
              <w:rPr>
                <w:lang w:eastAsia="ar-SA"/>
              </w:rPr>
            </w:pPr>
          </w:p>
        </w:tc>
        <w:tc>
          <w:tcPr>
            <w:tcW w:w="1981" w:type="dxa"/>
            <w:vMerge/>
            <w:shd w:val="clear" w:color="auto" w:fill="auto"/>
          </w:tcPr>
          <w:p w:rsidR="000D0E5E" w:rsidRPr="000D0E5E" w:rsidRDefault="000D0E5E" w:rsidP="009C2F07">
            <w:pPr>
              <w:suppressAutoHyphens/>
              <w:spacing w:line="240" w:lineRule="atLeast"/>
            </w:pPr>
          </w:p>
        </w:tc>
        <w:tc>
          <w:tcPr>
            <w:tcW w:w="2555" w:type="dxa"/>
            <w:shd w:val="clear" w:color="auto" w:fill="auto"/>
          </w:tcPr>
          <w:p w:rsidR="000D0E5E" w:rsidRPr="000D0E5E" w:rsidRDefault="000D0E5E" w:rsidP="009C2F07">
            <w:r w:rsidRPr="000D0E5E">
              <w:t>Длина катетера</w:t>
            </w:r>
          </w:p>
        </w:tc>
        <w:tc>
          <w:tcPr>
            <w:tcW w:w="1739" w:type="dxa"/>
            <w:shd w:val="clear" w:color="auto" w:fill="auto"/>
          </w:tcPr>
          <w:p w:rsidR="000D0E5E" w:rsidRPr="000D0E5E" w:rsidRDefault="000D0E5E" w:rsidP="009C2F07">
            <w:pPr>
              <w:jc w:val="center"/>
            </w:pPr>
            <w:r w:rsidRPr="000D0E5E">
              <w:rPr>
                <w:lang w:eastAsia="ar-SA"/>
              </w:rPr>
              <w:t>Не менее 300 мм, не более 450 мм</w:t>
            </w:r>
          </w:p>
        </w:tc>
        <w:tc>
          <w:tcPr>
            <w:tcW w:w="2126" w:type="dxa"/>
          </w:tcPr>
          <w:p w:rsidR="000D0E5E" w:rsidRPr="000D0E5E" w:rsidRDefault="000D0E5E" w:rsidP="009C2F07">
            <w:pPr>
              <w:widowControl w:val="0"/>
              <w:suppressAutoHyphens/>
              <w:jc w:val="center"/>
              <w:rPr>
                <w:lang w:eastAsia="ar-SA"/>
              </w:rPr>
            </w:pPr>
            <w:r w:rsidRPr="000D0E5E">
              <w:t>Методические рекомендации</w:t>
            </w:r>
          </w:p>
        </w:tc>
        <w:tc>
          <w:tcPr>
            <w:tcW w:w="992" w:type="dxa"/>
            <w:vMerge/>
            <w:shd w:val="clear" w:color="auto" w:fill="auto"/>
          </w:tcPr>
          <w:p w:rsidR="000D0E5E" w:rsidRPr="000D0E5E" w:rsidRDefault="000D0E5E" w:rsidP="009C2F07">
            <w:pPr>
              <w:widowControl w:val="0"/>
              <w:suppressAutoHyphens/>
              <w:jc w:val="center"/>
            </w:pPr>
          </w:p>
        </w:tc>
      </w:tr>
      <w:tr w:rsidR="000D0E5E" w:rsidRPr="000D0E5E" w:rsidTr="009C2F07">
        <w:trPr>
          <w:trHeight w:val="157"/>
          <w:jc w:val="center"/>
        </w:trPr>
        <w:tc>
          <w:tcPr>
            <w:tcW w:w="628" w:type="dxa"/>
            <w:vMerge/>
            <w:shd w:val="clear" w:color="auto" w:fill="auto"/>
          </w:tcPr>
          <w:p w:rsidR="000D0E5E" w:rsidRPr="000D0E5E" w:rsidRDefault="000D0E5E" w:rsidP="009C2F07">
            <w:pPr>
              <w:widowControl w:val="0"/>
              <w:suppressAutoHyphens/>
              <w:jc w:val="both"/>
              <w:rPr>
                <w:lang w:eastAsia="ar-SA"/>
              </w:rPr>
            </w:pPr>
          </w:p>
        </w:tc>
        <w:tc>
          <w:tcPr>
            <w:tcW w:w="1981" w:type="dxa"/>
            <w:vMerge/>
            <w:shd w:val="clear" w:color="auto" w:fill="auto"/>
          </w:tcPr>
          <w:p w:rsidR="000D0E5E" w:rsidRPr="000D0E5E" w:rsidRDefault="000D0E5E" w:rsidP="009C2F07">
            <w:pPr>
              <w:suppressAutoHyphens/>
              <w:spacing w:line="240" w:lineRule="atLeast"/>
              <w:jc w:val="center"/>
            </w:pPr>
          </w:p>
        </w:tc>
        <w:tc>
          <w:tcPr>
            <w:tcW w:w="2555" w:type="dxa"/>
            <w:shd w:val="clear" w:color="auto" w:fill="auto"/>
          </w:tcPr>
          <w:p w:rsidR="000D0E5E" w:rsidRPr="000D0E5E" w:rsidRDefault="000D0E5E" w:rsidP="009C2F07">
            <w:pPr>
              <w:widowControl w:val="0"/>
              <w:suppressAutoHyphens/>
              <w:spacing w:line="240" w:lineRule="atLeast"/>
            </w:pPr>
            <w:r w:rsidRPr="000D0E5E">
              <w:t xml:space="preserve">Количество типоразмеров катетера в диапазоне от 8 </w:t>
            </w:r>
            <w:r w:rsidRPr="000D0E5E">
              <w:rPr>
                <w:lang w:val="en-US"/>
              </w:rPr>
              <w:t>Fr</w:t>
            </w:r>
            <w:r w:rsidRPr="000D0E5E">
              <w:t xml:space="preserve"> (</w:t>
            </w:r>
            <w:proofErr w:type="spellStart"/>
            <w:r w:rsidRPr="000D0E5E">
              <w:rPr>
                <w:lang w:val="en-US"/>
              </w:rPr>
              <w:t>Ch</w:t>
            </w:r>
            <w:proofErr w:type="spellEnd"/>
            <w:r w:rsidRPr="000D0E5E">
              <w:t xml:space="preserve">) (включительно) до 12 </w:t>
            </w:r>
            <w:r w:rsidRPr="000D0E5E">
              <w:rPr>
                <w:lang w:val="en-US"/>
              </w:rPr>
              <w:t>Fr</w:t>
            </w:r>
            <w:r w:rsidRPr="000D0E5E">
              <w:t xml:space="preserve"> (</w:t>
            </w:r>
            <w:proofErr w:type="spellStart"/>
            <w:r w:rsidRPr="000D0E5E">
              <w:rPr>
                <w:lang w:val="en-US"/>
              </w:rPr>
              <w:t>Ch</w:t>
            </w:r>
            <w:proofErr w:type="spellEnd"/>
            <w:r w:rsidRPr="000D0E5E">
              <w:t>) (включительно) (по французской шкале)</w:t>
            </w:r>
          </w:p>
        </w:tc>
        <w:tc>
          <w:tcPr>
            <w:tcW w:w="1739" w:type="dxa"/>
            <w:shd w:val="clear" w:color="auto" w:fill="auto"/>
          </w:tcPr>
          <w:p w:rsidR="000D0E5E" w:rsidRPr="000D0E5E" w:rsidRDefault="000D0E5E" w:rsidP="009C2F07">
            <w:pPr>
              <w:widowControl w:val="0"/>
              <w:suppressAutoHyphens/>
              <w:spacing w:line="240" w:lineRule="atLeast"/>
              <w:jc w:val="center"/>
            </w:pPr>
            <w:r w:rsidRPr="000D0E5E">
              <w:rPr>
                <w:lang w:eastAsia="ar-SA"/>
              </w:rPr>
              <w:t xml:space="preserve">Не менее 2 </w:t>
            </w:r>
            <w:bookmarkStart w:id="0" w:name="_GoBack"/>
            <w:bookmarkEnd w:id="0"/>
            <w:r w:rsidRPr="000D0E5E">
              <w:rPr>
                <w:lang w:eastAsia="ar-SA"/>
              </w:rPr>
              <w:t>(двух)</w:t>
            </w:r>
          </w:p>
        </w:tc>
        <w:tc>
          <w:tcPr>
            <w:tcW w:w="2126" w:type="dxa"/>
          </w:tcPr>
          <w:p w:rsidR="000D0E5E" w:rsidRPr="000D0E5E" w:rsidRDefault="000D0E5E" w:rsidP="009C2F07">
            <w:pPr>
              <w:widowControl w:val="0"/>
              <w:suppressAutoHyphens/>
              <w:jc w:val="center"/>
              <w:rPr>
                <w:lang w:eastAsia="ar-SA"/>
              </w:rPr>
            </w:pPr>
            <w:proofErr w:type="spellStart"/>
            <w:r w:rsidRPr="000D0E5E">
              <w:rPr>
                <w:lang w:eastAsia="ar-SA"/>
              </w:rPr>
              <w:t>Анторопометрические</w:t>
            </w:r>
            <w:proofErr w:type="spellEnd"/>
            <w:r w:rsidRPr="000D0E5E">
              <w:rPr>
                <w:lang w:eastAsia="ar-SA"/>
              </w:rPr>
              <w:t xml:space="preserve"> данные получателей</w:t>
            </w:r>
          </w:p>
        </w:tc>
        <w:tc>
          <w:tcPr>
            <w:tcW w:w="992" w:type="dxa"/>
            <w:vMerge/>
            <w:shd w:val="clear" w:color="auto" w:fill="auto"/>
          </w:tcPr>
          <w:p w:rsidR="000D0E5E" w:rsidRPr="000D0E5E" w:rsidRDefault="000D0E5E" w:rsidP="009C2F07">
            <w:pPr>
              <w:widowControl w:val="0"/>
              <w:suppressAutoHyphens/>
              <w:jc w:val="center"/>
            </w:pPr>
          </w:p>
        </w:tc>
      </w:tr>
      <w:tr w:rsidR="000D0E5E" w:rsidRPr="000D0E5E" w:rsidTr="009C2F07">
        <w:trPr>
          <w:trHeight w:val="157"/>
          <w:jc w:val="center"/>
        </w:trPr>
        <w:tc>
          <w:tcPr>
            <w:tcW w:w="9029" w:type="dxa"/>
            <w:gridSpan w:val="5"/>
            <w:shd w:val="clear" w:color="auto" w:fill="auto"/>
          </w:tcPr>
          <w:p w:rsidR="000D0E5E" w:rsidRPr="000D0E5E" w:rsidRDefault="000D0E5E" w:rsidP="009C2F07">
            <w:pPr>
              <w:widowControl w:val="0"/>
              <w:suppressAutoHyphens/>
              <w:jc w:val="right"/>
            </w:pPr>
            <w:r w:rsidRPr="000D0E5E">
              <w:t>Итого:</w:t>
            </w:r>
          </w:p>
        </w:tc>
        <w:tc>
          <w:tcPr>
            <w:tcW w:w="992" w:type="dxa"/>
            <w:shd w:val="clear" w:color="auto" w:fill="auto"/>
          </w:tcPr>
          <w:p w:rsidR="000D0E5E" w:rsidRPr="000D0E5E" w:rsidRDefault="000D0E5E" w:rsidP="009C2F07">
            <w:pPr>
              <w:widowControl w:val="0"/>
              <w:suppressAutoHyphens/>
              <w:jc w:val="center"/>
            </w:pPr>
            <w:r w:rsidRPr="000D0E5E">
              <w:t>101</w:t>
            </w:r>
          </w:p>
        </w:tc>
      </w:tr>
    </w:tbl>
    <w:p w:rsidR="000D0E5E" w:rsidRPr="000D0E5E" w:rsidRDefault="000D0E5E" w:rsidP="000D0E5E">
      <w:pPr>
        <w:jc w:val="both"/>
      </w:pPr>
    </w:p>
    <w:p w:rsidR="000D0E5E" w:rsidRPr="000D0E5E" w:rsidRDefault="000D0E5E" w:rsidP="000D0E5E">
      <w:pPr>
        <w:jc w:val="both"/>
      </w:pPr>
      <w:r w:rsidRPr="000D0E5E">
        <w:t>1.4.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0D0E5E" w:rsidRPr="000D0E5E" w:rsidRDefault="000D0E5E" w:rsidP="000D0E5E">
      <w:pPr>
        <w:jc w:val="both"/>
      </w:pPr>
    </w:p>
    <w:p w:rsidR="000D0E5E" w:rsidRPr="000D0E5E" w:rsidRDefault="000D0E5E" w:rsidP="000D0E5E">
      <w:pPr>
        <w:jc w:val="both"/>
        <w:rPr>
          <w:b/>
          <w:lang w:eastAsia="ar-SA"/>
        </w:rPr>
      </w:pPr>
      <w:r w:rsidRPr="000D0E5E">
        <w:rPr>
          <w:b/>
          <w:lang w:eastAsia="ar-SA"/>
        </w:rPr>
        <w:t>2. Поставщик обязан:</w:t>
      </w:r>
    </w:p>
    <w:p w:rsidR="000D0E5E" w:rsidRPr="000D0E5E" w:rsidRDefault="000D0E5E" w:rsidP="000D0E5E">
      <w:pPr>
        <w:jc w:val="both"/>
        <w:rPr>
          <w:rFonts w:ascii="Times New Roman CYR" w:hAnsi="Times New Roman CYR" w:cs="Times New Roman CYR"/>
        </w:rPr>
      </w:pPr>
      <w:r w:rsidRPr="000D0E5E">
        <w:rPr>
          <w:lang w:eastAsia="ar-SA"/>
        </w:rPr>
        <w:t xml:space="preserve">2.1. </w:t>
      </w:r>
      <w:r w:rsidRPr="000D0E5E">
        <w:t xml:space="preserve">Поставлять Изделия для Получателей, </w:t>
      </w:r>
      <w:r w:rsidRPr="000D0E5E">
        <w:rPr>
          <w:spacing w:val="-4"/>
        </w:rPr>
        <w:t xml:space="preserve">имеющие </w:t>
      </w:r>
      <w:r w:rsidRPr="000D0E5E">
        <w:rPr>
          <w:rFonts w:ascii="Times New Roman CYR" w:hAnsi="Times New Roman CYR" w:cs="Times New Roman CYR"/>
        </w:rPr>
        <w:t xml:space="preserve">действующие регистрационные удостоверения, выданные Федеральной службой по надзору в сфере здравоохранения. </w:t>
      </w:r>
    </w:p>
    <w:p w:rsidR="000D0E5E" w:rsidRPr="000D0E5E" w:rsidRDefault="000D0E5E" w:rsidP="000D0E5E">
      <w:pPr>
        <w:jc w:val="both"/>
        <w:rPr>
          <w:rFonts w:ascii="Times New Roman CYR" w:hAnsi="Times New Roman CYR" w:cs="Times New Roman CYR"/>
        </w:rPr>
      </w:pPr>
      <w:r w:rsidRPr="000D0E5E">
        <w:rPr>
          <w:rFonts w:ascii="Times New Roman CYR" w:hAnsi="Times New Roman CYR" w:cs="Times New Roman CYR"/>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0D0E5E" w:rsidRPr="000D0E5E" w:rsidRDefault="000D0E5E" w:rsidP="000D0E5E">
      <w:pPr>
        <w:autoSpaceDE w:val="0"/>
        <w:autoSpaceDN w:val="0"/>
        <w:adjustRightInd w:val="0"/>
        <w:outlineLvl w:val="0"/>
      </w:pPr>
      <w:r w:rsidRPr="000D0E5E">
        <w:rPr>
          <w:lang w:eastAsia="ar-SA"/>
        </w:rPr>
        <w:t>2.2.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0D0E5E">
        <w:t xml:space="preserve"> выдаваемого Заказчиком, подписанного уполномоченным на дату выдачи направления лицом Заказчика.</w:t>
      </w:r>
    </w:p>
    <w:p w:rsidR="000D0E5E" w:rsidRPr="000D0E5E" w:rsidRDefault="000D0E5E" w:rsidP="000D0E5E">
      <w:pPr>
        <w:jc w:val="both"/>
      </w:pPr>
      <w:r w:rsidRPr="000D0E5E">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0D0E5E" w:rsidRPr="000D0E5E" w:rsidRDefault="000D0E5E" w:rsidP="000D0E5E">
      <w:pPr>
        <w:spacing w:line="240" w:lineRule="atLeast"/>
        <w:jc w:val="both"/>
        <w:rPr>
          <w:lang w:eastAsia="ar-SA"/>
        </w:rPr>
      </w:pPr>
      <w:r w:rsidRPr="000D0E5E">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0D0E5E" w:rsidRPr="000D0E5E" w:rsidRDefault="000D0E5E" w:rsidP="000D0E5E">
      <w:pPr>
        <w:suppressAutoHyphens/>
        <w:jc w:val="both"/>
        <w:rPr>
          <w:lang w:eastAsia="ar-SA"/>
        </w:rPr>
      </w:pPr>
      <w:r w:rsidRPr="000D0E5E">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0D0E5E" w:rsidRPr="000D0E5E" w:rsidRDefault="000D0E5E" w:rsidP="000D0E5E">
      <w:pPr>
        <w:jc w:val="both"/>
      </w:pPr>
      <w:r w:rsidRPr="000D0E5E">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0D0E5E" w:rsidRPr="000D0E5E" w:rsidRDefault="000D0E5E" w:rsidP="000D0E5E">
      <w:pPr>
        <w:tabs>
          <w:tab w:val="left" w:pos="9724"/>
        </w:tabs>
        <w:ind w:right="10"/>
        <w:jc w:val="both"/>
      </w:pPr>
      <w:r w:rsidRPr="000D0E5E">
        <w:t xml:space="preserve">2.3. Обеспечить возможность выдачи Изделий со дня, следующего за днем заключения государственного контракта. </w:t>
      </w:r>
    </w:p>
    <w:p w:rsidR="000D0E5E" w:rsidRPr="000D0E5E" w:rsidRDefault="000D0E5E" w:rsidP="000D0E5E">
      <w:pPr>
        <w:jc w:val="both"/>
      </w:pPr>
      <w:r w:rsidRPr="000D0E5E">
        <w:t xml:space="preserve">2.4. Давать справки Получателям по вопросам, связанным с поставкой Изделий. Для звонков Получателей должен быть выделен телефонный номер, указанный в приложении к государственному контракту. </w:t>
      </w:r>
    </w:p>
    <w:p w:rsidR="000D0E5E" w:rsidRPr="000D0E5E" w:rsidRDefault="000D0E5E" w:rsidP="000D0E5E">
      <w:pPr>
        <w:jc w:val="both"/>
      </w:pPr>
      <w:r w:rsidRPr="000D0E5E">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w:t>
      </w:r>
      <w:r w:rsidRPr="000D0E5E">
        <w:lastRenderedPageBreak/>
        <w:t xml:space="preserve">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0D0E5E" w:rsidRPr="000D0E5E" w:rsidRDefault="000D0E5E" w:rsidP="000D0E5E">
      <w:pPr>
        <w:jc w:val="both"/>
      </w:pPr>
      <w:r w:rsidRPr="000D0E5E">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0D0E5E" w:rsidRPr="000D0E5E" w:rsidRDefault="000D0E5E" w:rsidP="000D0E5E">
      <w:pPr>
        <w:jc w:val="both"/>
      </w:pPr>
      <w:r w:rsidRPr="000D0E5E">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0D0E5E" w:rsidRPr="000D0E5E" w:rsidRDefault="000D0E5E" w:rsidP="000D0E5E">
      <w:pPr>
        <w:jc w:val="both"/>
      </w:pPr>
      <w:r w:rsidRPr="000D0E5E">
        <w:t>Предоставлять Заказчику в рамках подтверждения исполнения государственного контракта журнал телефонных звонков.</w:t>
      </w:r>
    </w:p>
    <w:p w:rsidR="000D0E5E" w:rsidRPr="000D0E5E" w:rsidRDefault="000D0E5E" w:rsidP="000D0E5E">
      <w:pPr>
        <w:jc w:val="both"/>
        <w:rPr>
          <w:rFonts w:ascii="Times New Roman CYR" w:hAnsi="Times New Roman CYR" w:cs="Times New Roman CYR"/>
        </w:rPr>
      </w:pPr>
      <w:r w:rsidRPr="000D0E5E">
        <w:t xml:space="preserve">2.6. </w:t>
      </w:r>
      <w:r w:rsidRPr="000D0E5E">
        <w:rPr>
          <w:rFonts w:ascii="Times New Roman CYR" w:hAnsi="Times New Roman CYR" w:cs="Times New Roman CYR"/>
        </w:rPr>
        <w:t xml:space="preserve">Осуществлять передачу Изделий (в комплектации в соответствии с настоящим техническим заданием), подобранных </w:t>
      </w:r>
      <w:r w:rsidRPr="000D0E5E">
        <w:t xml:space="preserve">врачом-урологом </w:t>
      </w:r>
      <w:r w:rsidRPr="000D0E5E">
        <w:rPr>
          <w:rFonts w:ascii="Times New Roman CYR" w:hAnsi="Times New Roman CYR" w:cs="Times New Roman CYR"/>
        </w:rPr>
        <w:t xml:space="preserve">или врачом-онкологом в зависимости от вида имеющейся патологии, функциональных нарушений, особенностей течения заболевания, вида, формы и размера </w:t>
      </w:r>
      <w:proofErr w:type="spellStart"/>
      <w:r w:rsidRPr="000D0E5E">
        <w:rPr>
          <w:rFonts w:ascii="Times New Roman CYR" w:hAnsi="Times New Roman CYR" w:cs="Times New Roman CYR"/>
        </w:rPr>
        <w:t>стомы</w:t>
      </w:r>
      <w:proofErr w:type="spellEnd"/>
      <w:r w:rsidRPr="000D0E5E">
        <w:rPr>
          <w:rFonts w:ascii="Times New Roman CYR" w:hAnsi="Times New Roman CYR" w:cs="Times New Roman CYR"/>
        </w:rPr>
        <w:t xml:space="preserve">, состояния кожи вокруг неё, </w:t>
      </w:r>
      <w:r w:rsidRPr="000D0E5E">
        <w:t xml:space="preserve">вида нарушения (задержка мочи) и уровня физической активности </w:t>
      </w:r>
      <w:r w:rsidRPr="000D0E5E">
        <w:rPr>
          <w:rFonts w:ascii="Times New Roman CYR" w:hAnsi="Times New Roman CYR" w:cs="Times New Roman CYR"/>
        </w:rPr>
        <w:t xml:space="preserve">по месту нахождения пунктов - в день обращения Получателей, либо с доставкой на дом - </w:t>
      </w:r>
      <w:r w:rsidRPr="000D0E5E">
        <w:rPr>
          <w:lang w:eastAsia="ar-SA"/>
        </w:rPr>
        <w:t>в срок не более 5 (пяти) рабочих дней со дня получения от Получателя направления и письменного заявления в адрес поставщика с указанием адреса доставки и телефона</w:t>
      </w:r>
      <w:r w:rsidRPr="000D0E5E">
        <w:rPr>
          <w:rFonts w:ascii="Times New Roman CYR" w:hAnsi="Times New Roman CYR" w:cs="Times New Roman CYR"/>
        </w:rPr>
        <w:t xml:space="preserve">. </w:t>
      </w:r>
    </w:p>
    <w:p w:rsidR="000D0E5E" w:rsidRPr="000D0E5E" w:rsidRDefault="000D0E5E" w:rsidP="000D0E5E">
      <w:pPr>
        <w:jc w:val="both"/>
      </w:pPr>
      <w:r w:rsidRPr="000D0E5E">
        <w:t xml:space="preserve">2.7. Давать справки Получателям по вопросам, связанным с поставкой Изделий, в часы работы пунктов приема. </w:t>
      </w:r>
    </w:p>
    <w:p w:rsidR="000D0E5E" w:rsidRPr="000D0E5E" w:rsidRDefault="000D0E5E" w:rsidP="000D0E5E"/>
    <w:p w:rsidR="000D0E5E" w:rsidRPr="000D0E5E" w:rsidRDefault="000D0E5E" w:rsidP="000D0E5E">
      <w:pPr>
        <w:suppressAutoHyphens/>
        <w:spacing w:line="240" w:lineRule="atLeast"/>
        <w:jc w:val="both"/>
        <w:rPr>
          <w:b/>
        </w:rPr>
      </w:pPr>
      <w:r w:rsidRPr="000D0E5E">
        <w:rPr>
          <w:b/>
        </w:rPr>
        <w:t>3. Способ поставки:</w:t>
      </w:r>
    </w:p>
    <w:p w:rsidR="000D0E5E" w:rsidRPr="000D0E5E" w:rsidRDefault="000D0E5E" w:rsidP="000D0E5E">
      <w:pPr>
        <w:suppressAutoHyphens/>
        <w:spacing w:line="240" w:lineRule="atLeast"/>
        <w:jc w:val="both"/>
      </w:pPr>
      <w:r w:rsidRPr="000D0E5E">
        <w:t xml:space="preserve">3.1. Поставщик передает Изделия Получателям следующими способами: </w:t>
      </w:r>
    </w:p>
    <w:p w:rsidR="000D0E5E" w:rsidRPr="000D0E5E" w:rsidRDefault="000D0E5E" w:rsidP="000D0E5E">
      <w:pPr>
        <w:suppressAutoHyphens/>
        <w:spacing w:line="240" w:lineRule="atLeast"/>
        <w:jc w:val="both"/>
      </w:pPr>
      <w:r w:rsidRPr="000D0E5E">
        <w:t>- по месту нахождения пунктов приема, организованных Поставщиком, в день обращения Получателя,</w:t>
      </w:r>
    </w:p>
    <w:p w:rsidR="000D0E5E" w:rsidRPr="000D0E5E" w:rsidRDefault="000D0E5E" w:rsidP="000D0E5E">
      <w:pPr>
        <w:suppressAutoHyphens/>
        <w:spacing w:line="240" w:lineRule="atLeast"/>
        <w:jc w:val="both"/>
      </w:pPr>
      <w:r w:rsidRPr="000D0E5E">
        <w:t xml:space="preserve">- по месту нахождения Получателя. </w:t>
      </w:r>
    </w:p>
    <w:p w:rsidR="000D0E5E" w:rsidRPr="000D0E5E" w:rsidRDefault="000D0E5E" w:rsidP="000D0E5E">
      <w:pPr>
        <w:jc w:val="both"/>
      </w:pPr>
      <w:r w:rsidRPr="000D0E5E">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0D0E5E" w:rsidRPr="000D0E5E" w:rsidRDefault="000D0E5E" w:rsidP="000D0E5E">
      <w:pPr>
        <w:suppressAutoHyphens/>
        <w:spacing w:line="240" w:lineRule="atLeast"/>
        <w:jc w:val="both"/>
      </w:pPr>
      <w:r w:rsidRPr="000D0E5E">
        <w:t xml:space="preserve">3.2.1 Пункты приема должны быть организованы не позднее 1 (одного) дня с момента заключения государственного контракта и действовать до выдачи всего предусмотренного контрактом объема Изделий. Не позднее указанного срока Поставщик передает Заказчику документы, подтверждающие право Поставщика использовать помещения пунктов выдачи, адреса и график работы пунктов. </w:t>
      </w:r>
    </w:p>
    <w:p w:rsidR="000D0E5E" w:rsidRPr="000D0E5E" w:rsidRDefault="000D0E5E" w:rsidP="000D0E5E">
      <w:pPr>
        <w:jc w:val="both"/>
      </w:pPr>
      <w:r w:rsidRPr="000D0E5E">
        <w:t>Количество пунктов – не менее 1 (одного) расположенного на территории разных районов Санкт-Петербурга.  При этом пункт приема получателей должен быть организован на территории Санкт-Петербурга на расстоянии шаговой доступности для получателей от станции метрополитена не более 500 метров в соответствии с п.6.29 «СНиП 2.07.01-89* Градостроительство. Планировка и застройка городских и сельских поселений». Максимальное время ожидания Получателей в очереди не должно превышать 15 минут.</w:t>
      </w:r>
    </w:p>
    <w:p w:rsidR="000D0E5E" w:rsidRPr="000D0E5E" w:rsidRDefault="000D0E5E" w:rsidP="000D0E5E">
      <w:pPr>
        <w:suppressAutoHyphens/>
        <w:spacing w:line="240" w:lineRule="atLeast"/>
        <w:jc w:val="both"/>
      </w:pPr>
      <w:r w:rsidRPr="000D0E5E">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0D0E5E" w:rsidRPr="000D0E5E" w:rsidRDefault="000D0E5E" w:rsidP="000D0E5E">
      <w:pPr>
        <w:jc w:val="both"/>
      </w:pPr>
      <w:r w:rsidRPr="000D0E5E">
        <w:t>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или иными приспособлениями для облегчения передвижения инвалидов). Пункт приема должен иметь туалетную комнату, оборудованную для посещения инвалидами, со свободным и бесплатным доступом Получателей.</w:t>
      </w:r>
    </w:p>
    <w:p w:rsidR="000D0E5E" w:rsidRPr="000D0E5E" w:rsidRDefault="000D0E5E" w:rsidP="000D0E5E">
      <w:pPr>
        <w:jc w:val="both"/>
      </w:pPr>
      <w:r w:rsidRPr="000D0E5E">
        <w:t>3.2.3. В случае выбора Получателем способа получения Изделия по месту нахождения пункта приема, организованного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0D0E5E" w:rsidRPr="000D0E5E" w:rsidRDefault="000D0E5E" w:rsidP="000D0E5E">
      <w:pPr>
        <w:jc w:val="both"/>
      </w:pPr>
      <w:r w:rsidRPr="000D0E5E">
        <w:lastRenderedPageBreak/>
        <w:t>3.2.4. Передача Изделий Получателям должна производиться в каждом из пунктов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0D0E5E" w:rsidRPr="000D0E5E" w:rsidRDefault="000D0E5E" w:rsidP="000D0E5E">
      <w:pPr>
        <w:suppressAutoHyphens/>
        <w:spacing w:line="240" w:lineRule="atLeast"/>
        <w:jc w:val="both"/>
      </w:pPr>
      <w:r w:rsidRPr="000D0E5E">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5 рабочих дней с даты обращения Получателя.</w:t>
      </w:r>
    </w:p>
    <w:p w:rsidR="000D0E5E" w:rsidRPr="000D0E5E" w:rsidRDefault="000D0E5E" w:rsidP="000D0E5E">
      <w:pPr>
        <w:jc w:val="both"/>
      </w:pPr>
      <w:r w:rsidRPr="000D0E5E">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0D0E5E" w:rsidRPr="000D0E5E" w:rsidRDefault="000D0E5E" w:rsidP="000D0E5E">
      <w:pPr>
        <w:jc w:val="both"/>
      </w:pPr>
    </w:p>
    <w:p w:rsidR="000D0E5E" w:rsidRPr="000D0E5E" w:rsidRDefault="000D0E5E" w:rsidP="000D0E5E">
      <w:pPr>
        <w:jc w:val="both"/>
      </w:pPr>
      <w:r w:rsidRPr="000D0E5E">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0D0E5E" w:rsidRPr="000D0E5E" w:rsidRDefault="000D0E5E" w:rsidP="000D0E5E">
      <w:pPr>
        <w:jc w:val="both"/>
      </w:pPr>
      <w:r w:rsidRPr="000D0E5E">
        <w:t>При проведении выборочной проверки Заказчик вправе осуществлять видеозапись.</w:t>
      </w:r>
    </w:p>
    <w:p w:rsidR="00905341" w:rsidRPr="000D0E5E" w:rsidRDefault="000D0E5E" w:rsidP="000D0E5E">
      <w:r w:rsidRPr="000D0E5E">
        <w:rPr>
          <w:spacing w:val="-4"/>
        </w:rPr>
        <w:t xml:space="preserve">Обеспечить наличие Изделий в пунктах приема для выбора Получателей следующим образом: на день, следующий за днем заключения государственного контракта, в </w:t>
      </w:r>
      <w:r w:rsidRPr="000D0E5E">
        <w:t xml:space="preserve">пункте </w:t>
      </w:r>
      <w:r w:rsidRPr="000D0E5E">
        <w:rPr>
          <w:spacing w:val="-4"/>
        </w:rPr>
        <w:t>приема должно находиться не менее 50% от общего количества товара, предусмотренного контрактом.</w:t>
      </w:r>
      <w:r w:rsidRPr="000D0E5E">
        <w:t xml:space="preserve"> В дальнейшем на пунктах приема ежедневно должно находиться количество Изделий достаточное для организации их бесперебойной выдачи.</w:t>
      </w:r>
    </w:p>
    <w:sectPr w:rsidR="00905341" w:rsidRPr="000D0E5E" w:rsidSect="000D0E5E">
      <w:pgSz w:w="11906" w:h="16838"/>
      <w:pgMar w:top="851" w:right="73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8F" w:rsidRDefault="00BF608F" w:rsidP="000D0E5E">
      <w:r>
        <w:separator/>
      </w:r>
    </w:p>
  </w:endnote>
  <w:endnote w:type="continuationSeparator" w:id="0">
    <w:p w:rsidR="00BF608F" w:rsidRDefault="00BF608F" w:rsidP="000D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8F" w:rsidRDefault="00BF608F" w:rsidP="000D0E5E">
      <w:r>
        <w:separator/>
      </w:r>
    </w:p>
  </w:footnote>
  <w:footnote w:type="continuationSeparator" w:id="0">
    <w:p w:rsidR="00BF608F" w:rsidRDefault="00BF608F" w:rsidP="000D0E5E">
      <w:r>
        <w:continuationSeparator/>
      </w:r>
    </w:p>
  </w:footnote>
  <w:footnote w:id="1">
    <w:p w:rsidR="000D0E5E" w:rsidRPr="004D2FEC" w:rsidRDefault="000D0E5E" w:rsidP="000D0E5E">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0D0E5E" w:rsidRDefault="000D0E5E" w:rsidP="000D0E5E">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60"/>
    <w:rsid w:val="000D0E5E"/>
    <w:rsid w:val="00500F60"/>
    <w:rsid w:val="00905341"/>
    <w:rsid w:val="00BF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709F7-F04F-424F-B997-45808D66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E5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D0E5E"/>
    <w:rPr>
      <w:rFonts w:eastAsia="Times New Roman"/>
      <w:sz w:val="20"/>
      <w:szCs w:val="20"/>
    </w:rPr>
  </w:style>
  <w:style w:type="character" w:customStyle="1" w:styleId="a4">
    <w:name w:val="Текст сноски Знак"/>
    <w:basedOn w:val="a0"/>
    <w:link w:val="a3"/>
    <w:semiHidden/>
    <w:rsid w:val="000D0E5E"/>
    <w:rPr>
      <w:rFonts w:ascii="Times New Roman" w:eastAsia="Times New Roman" w:hAnsi="Times New Roman" w:cs="Times New Roman"/>
      <w:sz w:val="20"/>
      <w:szCs w:val="20"/>
      <w:lang w:eastAsia="ru-RU"/>
    </w:rPr>
  </w:style>
  <w:style w:type="character" w:styleId="a5">
    <w:name w:val="footnote reference"/>
    <w:semiHidden/>
    <w:rsid w:val="000D0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Чебанова</dc:creator>
  <cp:keywords/>
  <dc:description/>
  <cp:lastModifiedBy>Татьяна Чебанова</cp:lastModifiedBy>
  <cp:revision>2</cp:revision>
  <dcterms:created xsi:type="dcterms:W3CDTF">2018-12-04T07:05:00Z</dcterms:created>
  <dcterms:modified xsi:type="dcterms:W3CDTF">2018-12-04T07:06:00Z</dcterms:modified>
</cp:coreProperties>
</file>