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881D60" w:rsidRDefault="00881D60" w:rsidP="00F02323">
      <w:pPr>
        <w:jc w:val="center"/>
        <w:rPr>
          <w:sz w:val="26"/>
          <w:szCs w:val="26"/>
        </w:rPr>
      </w:pPr>
    </w:p>
    <w:p w:rsidR="00881D60" w:rsidRDefault="003D4479" w:rsidP="00881D60">
      <w:pPr>
        <w:jc w:val="both"/>
      </w:pPr>
      <w:r>
        <w:t xml:space="preserve">Поставка </w:t>
      </w:r>
      <w:r w:rsidR="00B34529">
        <w:t xml:space="preserve">инвалидам </w:t>
      </w:r>
      <w:proofErr w:type="spellStart"/>
      <w:r w:rsidR="00B34529">
        <w:t>противопролежневых</w:t>
      </w:r>
      <w:proofErr w:type="spellEnd"/>
      <w:r w:rsidR="00B34529">
        <w:t xml:space="preserve"> мат</w:t>
      </w:r>
      <w:r>
        <w:t xml:space="preserve">рацев в количестве </w:t>
      </w:r>
      <w:r w:rsidR="002A195E">
        <w:t>290</w:t>
      </w:r>
      <w:r w:rsidR="00881D60">
        <w:t xml:space="preserve"> штук.</w:t>
      </w:r>
    </w:p>
    <w:p w:rsidR="00893452" w:rsidRDefault="00893452" w:rsidP="00881D60">
      <w:pPr>
        <w:jc w:val="both"/>
      </w:pPr>
    </w:p>
    <w:p w:rsidR="00893452" w:rsidRDefault="00893452" w:rsidP="00881D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качеству, техническим и функциональным характеристикам Товара:</w:t>
      </w:r>
    </w:p>
    <w:p w:rsidR="00FD18DD" w:rsidRPr="00FD18DD" w:rsidRDefault="00FD18DD" w:rsidP="00FD18DD">
      <w:pPr>
        <w:pStyle w:val="ad"/>
        <w:snapToGrid w:val="0"/>
        <w:spacing w:before="0" w:after="0"/>
        <w:jc w:val="both"/>
        <w:rPr>
          <w:i w:val="0"/>
        </w:rPr>
      </w:pPr>
      <w:proofErr w:type="spellStart"/>
      <w:r w:rsidRPr="00FD18DD">
        <w:rPr>
          <w:rFonts w:ascii="Times New Roman" w:hAnsi="Times New Roman"/>
          <w:i w:val="0"/>
        </w:rPr>
        <w:t>Противопролежневые</w:t>
      </w:r>
      <w:proofErr w:type="spellEnd"/>
      <w:r w:rsidRPr="00FD18DD">
        <w:rPr>
          <w:rFonts w:ascii="Times New Roman" w:hAnsi="Times New Roman"/>
          <w:i w:val="0"/>
        </w:rPr>
        <w:t xml:space="preserve"> матрацы предназначены для профилактики и лечения пролежней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</w:t>
      </w:r>
    </w:p>
    <w:p w:rsidR="00277140" w:rsidRDefault="00277140" w:rsidP="00881D60">
      <w:pPr>
        <w:jc w:val="both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1134"/>
        <w:gridCol w:w="1276"/>
        <w:gridCol w:w="1701"/>
      </w:tblGrid>
      <w:tr w:rsidR="00277140" w:rsidTr="001D17BA">
        <w:trPr>
          <w:trHeight w:val="722"/>
        </w:trPr>
        <w:tc>
          <w:tcPr>
            <w:tcW w:w="2269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шт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277140" w:rsidTr="00902DFF">
        <w:trPr>
          <w:trHeight w:val="2867"/>
        </w:trPr>
        <w:tc>
          <w:tcPr>
            <w:tcW w:w="2269" w:type="dxa"/>
            <w:vAlign w:val="center"/>
          </w:tcPr>
          <w:p w:rsidR="00277140" w:rsidRDefault="00786C55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полиуретановые</w:t>
            </w:r>
          </w:p>
          <w:p w:rsidR="001D17BA" w:rsidRDefault="001D17BA" w:rsidP="008C45E9">
            <w:pPr>
              <w:jc w:val="center"/>
              <w:rPr>
                <w:sz w:val="21"/>
                <w:szCs w:val="21"/>
              </w:rPr>
            </w:pPr>
          </w:p>
          <w:p w:rsidR="001D17BA" w:rsidRPr="001D17BA" w:rsidRDefault="001D17BA" w:rsidP="001D17BA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12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1D17BA" w:rsidRPr="00277140" w:rsidRDefault="001D17BA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менее 1900 мм, ширина не менее 850 мм, толщина не менее 50 мм.</w:t>
            </w:r>
          </w:p>
        </w:tc>
        <w:tc>
          <w:tcPr>
            <w:tcW w:w="4678" w:type="dxa"/>
          </w:tcPr>
          <w:p w:rsidR="001D17BA" w:rsidRPr="001D17BA" w:rsidRDefault="001D17BA" w:rsidP="001D17BA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- И</w:t>
            </w:r>
            <w:r w:rsidRPr="001D17BA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1D17BA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1D17BA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1D17BA" w:rsidRPr="001D17BA" w:rsidRDefault="001D17BA" w:rsidP="001D17BA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Матрац с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остои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 из трех формообразующих элементов;</w:t>
            </w:r>
          </w:p>
          <w:p w:rsidR="001D17BA" w:rsidRPr="001D17BA" w:rsidRDefault="001D17BA" w:rsidP="001D17BA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 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Верхняя часть матраца выполнена из отдельных ячеек, обеспечивающих </w:t>
            </w:r>
            <w:proofErr w:type="spellStart"/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циркуляцую</w:t>
            </w:r>
            <w:proofErr w:type="spellEnd"/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воздуха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277140" w:rsidRPr="00277140" w:rsidRDefault="001D17BA" w:rsidP="001D17BA">
            <w:pPr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Комплектуется специальным эластичным чехлом.</w:t>
            </w:r>
          </w:p>
        </w:tc>
        <w:tc>
          <w:tcPr>
            <w:tcW w:w="1134" w:type="dxa"/>
            <w:vAlign w:val="center"/>
          </w:tcPr>
          <w:p w:rsidR="00277140" w:rsidRPr="00277140" w:rsidRDefault="006F60F3" w:rsidP="00F96A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96A39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277140" w:rsidTr="001D17BA">
        <w:tc>
          <w:tcPr>
            <w:tcW w:w="2269" w:type="dxa"/>
            <w:vAlign w:val="center"/>
          </w:tcPr>
          <w:p w:rsidR="00277140" w:rsidRDefault="004F4F56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</w:t>
            </w:r>
            <w:proofErr w:type="spellStart"/>
            <w:r>
              <w:rPr>
                <w:sz w:val="21"/>
                <w:szCs w:val="21"/>
              </w:rPr>
              <w:t>гелевые</w:t>
            </w:r>
            <w:proofErr w:type="spellEnd"/>
          </w:p>
          <w:p w:rsidR="004F4F56" w:rsidRDefault="004F4F56" w:rsidP="008C45E9">
            <w:pPr>
              <w:jc w:val="center"/>
              <w:rPr>
                <w:sz w:val="21"/>
                <w:szCs w:val="21"/>
              </w:rPr>
            </w:pPr>
          </w:p>
          <w:p w:rsidR="004F4F56" w:rsidRPr="001D17BA" w:rsidRDefault="004F4F56" w:rsidP="004F4F56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11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4F4F56" w:rsidRPr="001D17BA" w:rsidRDefault="004F4F56" w:rsidP="004F4F56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</w:t>
            </w:r>
            <w:r w:rsidR="009C1C2D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енее 1900 мм, ширина не менее 850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мм, </w:t>
            </w:r>
            <w:r w:rsidR="003649E5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толщина не менее 5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мм.</w:t>
            </w:r>
          </w:p>
          <w:p w:rsidR="004F4F56" w:rsidRPr="00277140" w:rsidRDefault="004F4F56" w:rsidP="008C4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902DFF" w:rsidRPr="00902DFF" w:rsidRDefault="00902DFF" w:rsidP="00902DFF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- И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902DFF" w:rsidRPr="00902DFF" w:rsidRDefault="00902DFF" w:rsidP="00EE75B7">
            <w:pPr>
              <w:pStyle w:val="24"/>
              <w:keepNext/>
              <w:spacing w:line="18" w:lineRule="atLeast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Состоит из трех формообразующих секций, находящихся внутри </w:t>
            </w:r>
            <w:r w:rsidR="00EE75B7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матраца. </w:t>
            </w:r>
            <w:r w:rsidR="00EE75B7">
              <w:rPr>
                <w:sz w:val="21"/>
                <w:szCs w:val="21"/>
              </w:rPr>
              <w:t>Наполняемость матрацев</w:t>
            </w:r>
            <w:r w:rsidR="00EE75B7" w:rsidRPr="00EE75B7">
              <w:rPr>
                <w:sz w:val="21"/>
                <w:szCs w:val="21"/>
              </w:rPr>
              <w:t xml:space="preserve">: гель или </w:t>
            </w:r>
            <w:proofErr w:type="spellStart"/>
            <w:r w:rsidR="00EE75B7" w:rsidRPr="00EE75B7">
              <w:rPr>
                <w:sz w:val="21"/>
                <w:szCs w:val="21"/>
              </w:rPr>
              <w:t>гелевые</w:t>
            </w:r>
            <w:proofErr w:type="spellEnd"/>
            <w:r w:rsidR="00EE75B7" w:rsidRPr="00EE75B7">
              <w:rPr>
                <w:sz w:val="21"/>
                <w:szCs w:val="21"/>
              </w:rPr>
              <w:t xml:space="preserve"> элементы, или </w:t>
            </w:r>
            <w:proofErr w:type="spellStart"/>
            <w:r w:rsidR="00EE75B7" w:rsidRPr="00EE75B7">
              <w:rPr>
                <w:sz w:val="21"/>
                <w:szCs w:val="21"/>
              </w:rPr>
              <w:t>гелевые</w:t>
            </w:r>
            <w:proofErr w:type="spellEnd"/>
            <w:r w:rsidR="00EE75B7" w:rsidRPr="00EE75B7">
              <w:rPr>
                <w:sz w:val="21"/>
                <w:szCs w:val="21"/>
              </w:rPr>
              <w:t xml:space="preserve"> вставки.</w:t>
            </w:r>
            <w:r w:rsidR="00EE75B7">
              <w:rPr>
                <w:sz w:val="20"/>
                <w:szCs w:val="20"/>
              </w:rPr>
              <w:t xml:space="preserve"> </w:t>
            </w:r>
          </w:p>
          <w:p w:rsidR="00902DFF" w:rsidRPr="00902DFF" w:rsidRDefault="00902DFF" w:rsidP="00902DFF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 Комплектуется специальным чехлом, который упрощает санитарную обработку;</w:t>
            </w:r>
          </w:p>
          <w:p w:rsidR="00902DFF" w:rsidRPr="00902DFF" w:rsidRDefault="00902DFF" w:rsidP="00902DFF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Равномерное распределение давления на участки соприкасающегося тела достигается за счет упруго перетекающих элементов, находящихся внутри матраца;</w:t>
            </w:r>
          </w:p>
          <w:p w:rsidR="008243AD" w:rsidRPr="00277140" w:rsidRDefault="00902DFF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- Наполняемость внутреннего объема гель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77140" w:rsidRPr="00277140" w:rsidRDefault="00F96A39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277140" w:rsidTr="001D17BA">
        <w:tc>
          <w:tcPr>
            <w:tcW w:w="2269" w:type="dxa"/>
            <w:vAlign w:val="center"/>
          </w:tcPr>
          <w:p w:rsidR="00277140" w:rsidRDefault="00A73CEA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воздушные (с компрессором)</w:t>
            </w:r>
          </w:p>
          <w:p w:rsidR="000F7814" w:rsidRDefault="000F7814" w:rsidP="008C45E9">
            <w:pPr>
              <w:jc w:val="center"/>
              <w:rPr>
                <w:sz w:val="21"/>
                <w:szCs w:val="21"/>
              </w:rPr>
            </w:pPr>
          </w:p>
          <w:p w:rsidR="000F7814" w:rsidRPr="001D17BA" w:rsidRDefault="000F7814" w:rsidP="000F7814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12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0F7814" w:rsidRPr="001D17BA" w:rsidRDefault="000F7814" w:rsidP="000F7814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</w:t>
            </w:r>
            <w:r w:rsidR="006E7F9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енее 1700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мм, ширина не менее 90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0 мм,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толщина не менее 6</w:t>
            </w:r>
            <w:r w:rsidR="00E13124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мм.</w:t>
            </w:r>
          </w:p>
          <w:p w:rsidR="000F7814" w:rsidRPr="00277140" w:rsidRDefault="000F7814" w:rsidP="008C4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0F7814" w:rsidRPr="00902DFF" w:rsidRDefault="000F7814" w:rsidP="000F7814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0F7814" w:rsidRPr="00902DFF" w:rsidRDefault="000F7814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Состоит из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отдельных групп надувных камер (ячеистых структур), плавно </w:t>
            </w:r>
            <w:proofErr w:type="spellStart"/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сдувающихся</w:t>
            </w:r>
            <w:proofErr w:type="spellEnd"/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и раздувающихся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0F7814" w:rsidRPr="00902DFF" w:rsidRDefault="000F7814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 Комплектуется </w:t>
            </w:r>
            <w:r w:rsidR="00A71649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малошумным непрерывно работающим воздушным компрессором, обеспечивающим регулировку давления в ячейках матраца в зависимости от веса инвалида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0F7814" w:rsidRPr="00902DFF" w:rsidRDefault="000F7814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</w:t>
            </w:r>
            <w:r w:rsidR="00E44A7D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Используемое напряжение для работы компрессора 220В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CD51C4" w:rsidRPr="00277140" w:rsidRDefault="000F7814" w:rsidP="000F7814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- Напол</w:t>
            </w:r>
            <w:r w:rsidR="00140D4E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няемость внутреннего объема воздух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77140" w:rsidRPr="00277140" w:rsidRDefault="006F60F3" w:rsidP="00F96A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96A39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1315B0" w:rsidTr="00B509AD">
        <w:trPr>
          <w:trHeight w:val="319"/>
        </w:trPr>
        <w:tc>
          <w:tcPr>
            <w:tcW w:w="6947" w:type="dxa"/>
            <w:gridSpan w:val="2"/>
            <w:vAlign w:val="center"/>
          </w:tcPr>
          <w:p w:rsidR="001315B0" w:rsidRPr="00B509AD" w:rsidRDefault="001315B0" w:rsidP="001315B0">
            <w:pPr>
              <w:autoSpaceDN w:val="0"/>
              <w:jc w:val="right"/>
              <w:textAlignment w:val="baseline"/>
              <w:rPr>
                <w:rFonts w:eastAsia="Lucida Sans Unicode"/>
                <w:b/>
                <w:kern w:val="3"/>
                <w:lang w:eastAsia="ru-RU"/>
              </w:rPr>
            </w:pPr>
            <w:r w:rsidRPr="00B509AD">
              <w:rPr>
                <w:rFonts w:eastAsia="Lucida Sans Unicode"/>
                <w:b/>
                <w:kern w:val="3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315B0" w:rsidRPr="00B509AD" w:rsidRDefault="00F96A39" w:rsidP="00CA5BE9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977" w:type="dxa"/>
            <w:gridSpan w:val="2"/>
            <w:vAlign w:val="center"/>
          </w:tcPr>
          <w:p w:rsidR="001315B0" w:rsidRPr="00277140" w:rsidRDefault="001315B0" w:rsidP="00CA5B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77140" w:rsidRPr="00893452" w:rsidRDefault="00277140" w:rsidP="00881D60">
      <w:pPr>
        <w:jc w:val="both"/>
      </w:pPr>
    </w:p>
    <w:p w:rsidR="00F02323" w:rsidRDefault="00F02323" w:rsidP="00F02323">
      <w:pPr>
        <w:jc w:val="center"/>
      </w:pPr>
    </w:p>
    <w:p w:rsidR="00B92856" w:rsidRDefault="00B92856" w:rsidP="00B92856">
      <w:pPr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Требования к качеству, техническим, функциональным характеристикам </w:t>
      </w:r>
      <w:proofErr w:type="spellStart"/>
      <w:r w:rsidR="006939F3">
        <w:rPr>
          <w:b/>
          <w:u w:val="single"/>
        </w:rPr>
        <w:t>противопролежневых</w:t>
      </w:r>
      <w:proofErr w:type="spellEnd"/>
      <w:r w:rsidR="006939F3">
        <w:rPr>
          <w:b/>
          <w:u w:val="single"/>
        </w:rPr>
        <w:t xml:space="preserve"> матрацев</w:t>
      </w:r>
      <w:r>
        <w:rPr>
          <w:b/>
          <w:u w:val="single"/>
        </w:rPr>
        <w:t>:</w:t>
      </w:r>
    </w:p>
    <w:p w:rsidR="00C16658" w:rsidRDefault="00C16658" w:rsidP="00B509AD">
      <w:pPr>
        <w:spacing w:line="100" w:lineRule="atLeast"/>
        <w:ind w:firstLine="709"/>
        <w:jc w:val="both"/>
        <w:rPr>
          <w:b/>
          <w:u w:val="single"/>
        </w:rPr>
      </w:pPr>
      <w:r>
        <w:t xml:space="preserve">Матрацы должны обеспечивать инвалиду опору при низком контактном давлении с помощью равномерного распределения давления на участки соприкасающегося тела </w:t>
      </w:r>
      <w:r>
        <w:lastRenderedPageBreak/>
        <w:t>достигается за счет упруго перетекающих элементов, находящихся внутри матраца тем самым предотвращая образование пролежней и ускоряя процесс заживления пораженных участков.</w:t>
      </w:r>
    </w:p>
    <w:p w:rsidR="00380388" w:rsidRDefault="009705AC" w:rsidP="00B509AD">
      <w:pPr>
        <w:spacing w:line="100" w:lineRule="atLeast"/>
        <w:ind w:firstLine="709"/>
        <w:jc w:val="both"/>
      </w:pPr>
      <w:proofErr w:type="spellStart"/>
      <w:r>
        <w:t>Противопролежневые</w:t>
      </w:r>
      <w:proofErr w:type="spellEnd"/>
      <w:r>
        <w:t xml:space="preserve"> матрацы</w:t>
      </w:r>
      <w:r>
        <w:rPr>
          <w:b/>
        </w:rPr>
        <w:t xml:space="preserve"> </w:t>
      </w:r>
      <w:r>
        <w:t>должны соответствова</w:t>
      </w:r>
      <w:r w:rsidR="00C16658">
        <w:t xml:space="preserve">ть требованиям ГОСТ </w:t>
      </w:r>
      <w:proofErr w:type="gramStart"/>
      <w:r w:rsidR="00C16658">
        <w:t>Р</w:t>
      </w:r>
      <w:proofErr w:type="gramEnd"/>
      <w:r w:rsidR="00C16658">
        <w:t xml:space="preserve"> 51632-2014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="00380388">
        <w:t>.</w:t>
      </w:r>
    </w:p>
    <w:p w:rsidR="00C32638" w:rsidRPr="00380388" w:rsidRDefault="00C32638" w:rsidP="00B509AD">
      <w:pPr>
        <w:spacing w:line="100" w:lineRule="atLeast"/>
        <w:ind w:firstLine="709"/>
        <w:jc w:val="both"/>
      </w:pPr>
    </w:p>
    <w:p w:rsidR="00B92856" w:rsidRPr="00C16658" w:rsidRDefault="00B92856" w:rsidP="00B92856">
      <w:pPr>
        <w:spacing w:line="100" w:lineRule="atLeast"/>
        <w:jc w:val="both"/>
        <w:rPr>
          <w:b/>
          <w:u w:val="single"/>
        </w:rPr>
      </w:pPr>
      <w:r w:rsidRPr="00C16658">
        <w:rPr>
          <w:b/>
          <w:u w:val="single"/>
        </w:rPr>
        <w:t xml:space="preserve">Требования к безопасности товара: </w:t>
      </w:r>
    </w:p>
    <w:p w:rsidR="00C16658" w:rsidRPr="00A0568C" w:rsidRDefault="00C16658" w:rsidP="006D1331">
      <w:pPr>
        <w:spacing w:line="259" w:lineRule="auto"/>
        <w:ind w:firstLine="709"/>
        <w:jc w:val="both"/>
        <w:rPr>
          <w:kern w:val="0"/>
        </w:rPr>
      </w:pPr>
      <w:r w:rsidRPr="00A0568C">
        <w:rPr>
          <w:kern w:val="0"/>
        </w:rPr>
        <w:t xml:space="preserve">Изделия должны быть изготовлены из специального </w:t>
      </w:r>
      <w:proofErr w:type="spellStart"/>
      <w:r w:rsidRPr="00A0568C">
        <w:rPr>
          <w:kern w:val="0"/>
        </w:rPr>
        <w:t>гипоаллергенного</w:t>
      </w:r>
      <w:proofErr w:type="spellEnd"/>
      <w:r w:rsidRPr="00A0568C">
        <w:rPr>
          <w:kern w:val="0"/>
        </w:rPr>
        <w:t xml:space="preserve"> водонепроницаемого нетоксичного материала, который не впитывает запахи и позволяет проводить санитарную обработку.</w:t>
      </w:r>
    </w:p>
    <w:p w:rsidR="00C16658" w:rsidRDefault="00C16658" w:rsidP="006D1331">
      <w:pPr>
        <w:widowControl w:val="0"/>
        <w:autoSpaceDE w:val="0"/>
        <w:spacing w:line="259" w:lineRule="auto"/>
        <w:ind w:firstLine="709"/>
        <w:jc w:val="both"/>
        <w:rPr>
          <w:rFonts w:eastAsiaTheme="minorHAnsi"/>
          <w:kern w:val="0"/>
          <w:lang w:eastAsia="en-US"/>
        </w:rPr>
      </w:pPr>
      <w:r w:rsidRPr="00A0568C">
        <w:rPr>
          <w:rFonts w:eastAsia="Arial" w:cs="Arial"/>
          <w:kern w:val="0"/>
        </w:rPr>
        <w:t xml:space="preserve">Материалы, применяемые для изготовления </w:t>
      </w:r>
      <w:proofErr w:type="spellStart"/>
      <w:r w:rsidRPr="00A0568C">
        <w:rPr>
          <w:rFonts w:eastAsia="Arial" w:cs="Arial"/>
          <w:kern w:val="0"/>
        </w:rPr>
        <w:t>противопролежневых</w:t>
      </w:r>
      <w:proofErr w:type="spellEnd"/>
      <w:r w:rsidRPr="00A0568C">
        <w:rPr>
          <w:rFonts w:eastAsia="Arial" w:cs="Arial"/>
          <w:kern w:val="0"/>
        </w:rPr>
        <w:t xml:space="preserve"> матрацев должны соответствовать требованиям нормативной документации ГОСТ ISO 10993-1-2011 </w:t>
      </w:r>
      <w:r>
        <w:rPr>
          <w:rFonts w:eastAsia="Arial" w:cs="Arial"/>
          <w:kern w:val="0"/>
        </w:rPr>
        <w:t>«Изделия медицинские. Оценка биологического</w:t>
      </w:r>
      <w:r w:rsidRPr="00A0568C">
        <w:rPr>
          <w:rFonts w:eastAsia="Arial" w:cs="Arial"/>
          <w:kern w:val="0"/>
        </w:rPr>
        <w:t xml:space="preserve"> </w:t>
      </w:r>
      <w:r>
        <w:rPr>
          <w:rFonts w:eastAsia="Arial" w:cs="Arial"/>
          <w:kern w:val="0"/>
        </w:rPr>
        <w:t>действия медицинских изделий</w:t>
      </w:r>
      <w:r w:rsidR="00695F34">
        <w:rPr>
          <w:rFonts w:eastAsia="Arial" w:cs="Arial"/>
          <w:kern w:val="0"/>
        </w:rPr>
        <w:t xml:space="preserve">. </w:t>
      </w:r>
      <w:r w:rsidR="00695F34">
        <w:rPr>
          <w:rFonts w:eastAsia="Andale Sans UI"/>
          <w:lang w:eastAsia="ja-JP" w:bidi="fa-IR"/>
        </w:rPr>
        <w:t>Часть 1. Оценка и исследование</w:t>
      </w:r>
      <w:r w:rsidR="00DC7504">
        <w:rPr>
          <w:rFonts w:eastAsia="Andale Sans UI"/>
          <w:lang w:eastAsia="ja-JP" w:bidi="fa-IR"/>
        </w:rPr>
        <w:t>»</w:t>
      </w:r>
      <w:r w:rsidR="006D1331">
        <w:rPr>
          <w:rFonts w:eastAsia="Andale Sans UI"/>
          <w:lang w:eastAsia="ja-JP" w:bidi="fa-IR"/>
        </w:rPr>
        <w:t>,</w:t>
      </w:r>
      <w:r w:rsidR="00695F34">
        <w:rPr>
          <w:rFonts w:eastAsia="Andale Sans UI"/>
          <w:lang w:eastAsia="ja-JP" w:bidi="fa-IR"/>
        </w:rPr>
        <w:t xml:space="preserve"> </w:t>
      </w:r>
      <w:r w:rsidR="00205BD6">
        <w:rPr>
          <w:rFonts w:eastAsia="Arial" w:cs="Arial"/>
          <w:kern w:val="0"/>
        </w:rPr>
        <w:t>ГОСТ ISO 10993-5</w:t>
      </w:r>
      <w:r w:rsidR="00205BD6" w:rsidRPr="00A0568C">
        <w:rPr>
          <w:rFonts w:eastAsia="Arial" w:cs="Arial"/>
          <w:kern w:val="0"/>
        </w:rPr>
        <w:t>-2011</w:t>
      </w:r>
      <w:r w:rsidR="00205BD6">
        <w:rPr>
          <w:rFonts w:eastAsia="Arial" w:cs="Arial"/>
          <w:kern w:val="0"/>
        </w:rPr>
        <w:t xml:space="preserve"> «Изделия медицинские. Оценка биологического</w:t>
      </w:r>
      <w:r w:rsidR="00205BD6" w:rsidRPr="00A0568C">
        <w:rPr>
          <w:rFonts w:eastAsia="Arial" w:cs="Arial"/>
          <w:kern w:val="0"/>
        </w:rPr>
        <w:t xml:space="preserve"> </w:t>
      </w:r>
      <w:r w:rsidR="00205BD6">
        <w:rPr>
          <w:rFonts w:eastAsia="Arial" w:cs="Arial"/>
          <w:kern w:val="0"/>
        </w:rPr>
        <w:t xml:space="preserve">действия медицинских изделий. </w:t>
      </w:r>
      <w:r w:rsidR="00695F34">
        <w:rPr>
          <w:rFonts w:eastAsia="Andale Sans UI"/>
          <w:lang w:eastAsia="ja-JP" w:bidi="fa-IR"/>
        </w:rPr>
        <w:t xml:space="preserve">Часть 5. Исследования на </w:t>
      </w:r>
      <w:proofErr w:type="spellStart"/>
      <w:r w:rsidR="00695F34">
        <w:rPr>
          <w:rFonts w:eastAsia="Andale Sans UI"/>
          <w:lang w:eastAsia="ja-JP" w:bidi="fa-IR"/>
        </w:rPr>
        <w:t>цитотоксичность</w:t>
      </w:r>
      <w:proofErr w:type="spellEnd"/>
      <w:r w:rsidR="00695F34">
        <w:rPr>
          <w:rFonts w:eastAsia="Andale Sans UI"/>
          <w:lang w:eastAsia="ja-JP" w:bidi="fa-IR"/>
        </w:rPr>
        <w:t xml:space="preserve">: методы </w:t>
      </w:r>
      <w:r w:rsidR="00695F34">
        <w:rPr>
          <w:rFonts w:eastAsia="Andale Sans UI"/>
          <w:lang w:val="en-US" w:eastAsia="ja-JP" w:bidi="fa-IR"/>
        </w:rPr>
        <w:t>in</w:t>
      </w:r>
      <w:r w:rsidR="00695F34">
        <w:rPr>
          <w:rFonts w:eastAsia="Andale Sans UI"/>
          <w:lang w:eastAsia="ja-JP" w:bidi="fa-IR"/>
        </w:rPr>
        <w:t xml:space="preserve"> </w:t>
      </w:r>
      <w:r w:rsidR="00695F34">
        <w:rPr>
          <w:rFonts w:eastAsia="Andale Sans UI"/>
          <w:lang w:val="en-US" w:eastAsia="ja-JP" w:bidi="fa-IR"/>
        </w:rPr>
        <w:t>vitro</w:t>
      </w:r>
      <w:r w:rsidR="00C33094">
        <w:rPr>
          <w:rFonts w:eastAsia="Andale Sans UI"/>
          <w:lang w:eastAsia="ja-JP" w:bidi="fa-IR"/>
        </w:rPr>
        <w:t>»</w:t>
      </w:r>
      <w:r w:rsidR="006D1331">
        <w:rPr>
          <w:rFonts w:eastAsia="Andale Sans UI"/>
          <w:lang w:eastAsia="ja-JP" w:bidi="fa-IR"/>
        </w:rPr>
        <w:t>,</w:t>
      </w:r>
      <w:r w:rsidR="00695F34">
        <w:rPr>
          <w:rFonts w:eastAsia="Andale Sans UI"/>
          <w:lang w:eastAsia="ja-JP" w:bidi="fa-IR"/>
        </w:rPr>
        <w:t xml:space="preserve"> </w:t>
      </w:r>
      <w:r w:rsidR="005A4D29">
        <w:rPr>
          <w:rFonts w:eastAsia="Arial" w:cs="Arial"/>
          <w:kern w:val="0"/>
        </w:rPr>
        <w:t>ГОСТ ISO 10993-10</w:t>
      </w:r>
      <w:r w:rsidR="005A4D29" w:rsidRPr="00A0568C">
        <w:rPr>
          <w:rFonts w:eastAsia="Arial" w:cs="Arial"/>
          <w:kern w:val="0"/>
        </w:rPr>
        <w:t>-2011</w:t>
      </w:r>
      <w:r w:rsidR="005A4D29">
        <w:rPr>
          <w:rFonts w:eastAsia="Arial" w:cs="Arial"/>
          <w:kern w:val="0"/>
        </w:rPr>
        <w:t xml:space="preserve"> «Изделия медицинские. Оценка биологического</w:t>
      </w:r>
      <w:r w:rsidR="005A4D29" w:rsidRPr="00A0568C">
        <w:rPr>
          <w:rFonts w:eastAsia="Arial" w:cs="Arial"/>
          <w:kern w:val="0"/>
        </w:rPr>
        <w:t xml:space="preserve"> </w:t>
      </w:r>
      <w:r w:rsidR="005A4D29">
        <w:rPr>
          <w:rFonts w:eastAsia="Arial" w:cs="Arial"/>
          <w:kern w:val="0"/>
        </w:rPr>
        <w:t xml:space="preserve">действия медицинских изделий. </w:t>
      </w:r>
      <w:r w:rsidR="00695F34">
        <w:rPr>
          <w:rFonts w:eastAsia="Andale Sans UI"/>
          <w:lang w:eastAsia="ja-JP" w:bidi="fa-IR"/>
        </w:rPr>
        <w:t>Часть 10. Исследование раздражающего и сенсибилизирующего действия</w:t>
      </w:r>
      <w:r w:rsidR="006D1331">
        <w:rPr>
          <w:rFonts w:eastAsia="Arial" w:cs="Arial"/>
          <w:kern w:val="0"/>
        </w:rPr>
        <w:t>»,</w:t>
      </w:r>
      <w:r w:rsidRPr="00A0568C">
        <w:rPr>
          <w:rFonts w:eastAsia="Arial" w:cs="Arial"/>
          <w:kern w:val="0"/>
        </w:rPr>
        <w:t xml:space="preserve"> </w:t>
      </w:r>
      <w:r w:rsidR="006D1331">
        <w:rPr>
          <w:rFonts w:eastAsiaTheme="minorHAnsi"/>
          <w:kern w:val="0"/>
          <w:lang w:eastAsia="en-US"/>
        </w:rPr>
        <w:t xml:space="preserve">ГОСТ </w:t>
      </w:r>
      <w:proofErr w:type="gramStart"/>
      <w:r w:rsidR="006D1331">
        <w:rPr>
          <w:rFonts w:eastAsiaTheme="minorHAnsi"/>
          <w:kern w:val="0"/>
          <w:lang w:eastAsia="en-US"/>
        </w:rPr>
        <w:t>Р</w:t>
      </w:r>
      <w:proofErr w:type="gramEnd"/>
      <w:r w:rsidR="006D1331">
        <w:rPr>
          <w:rFonts w:eastAsiaTheme="minorHAnsi"/>
          <w:kern w:val="0"/>
          <w:lang w:eastAsia="en-US"/>
        </w:rPr>
        <w:t xml:space="preserve"> 52770-2016</w:t>
      </w:r>
      <w:r w:rsidR="00C8137E" w:rsidRPr="00C8137E">
        <w:rPr>
          <w:rFonts w:eastAsiaTheme="minorHAnsi"/>
          <w:kern w:val="0"/>
          <w:lang w:eastAsia="en-US"/>
        </w:rPr>
        <w:t xml:space="preserve"> </w:t>
      </w:r>
      <w:r w:rsidR="00C8137E">
        <w:rPr>
          <w:rFonts w:eastAsiaTheme="minorHAnsi"/>
          <w:kern w:val="0"/>
          <w:lang w:eastAsia="en-US"/>
        </w:rPr>
        <w:t>«</w:t>
      </w:r>
      <w:r w:rsidR="00C8137E" w:rsidRPr="00C8137E">
        <w:rPr>
          <w:rFonts w:eastAsiaTheme="minorHAnsi"/>
          <w:kern w:val="0"/>
          <w:lang w:eastAsia="en-US"/>
        </w:rPr>
        <w:t>Изделия медицинские. Требования безопасности. Методы санитарно-химических и токсикологических испытаний</w:t>
      </w:r>
      <w:r w:rsidR="00C8137E">
        <w:rPr>
          <w:rFonts w:eastAsiaTheme="minorHAnsi"/>
          <w:kern w:val="0"/>
          <w:lang w:eastAsia="en-US"/>
        </w:rPr>
        <w:t>».</w:t>
      </w:r>
    </w:p>
    <w:p w:rsidR="00BE71C0" w:rsidRDefault="00BE71C0" w:rsidP="006D1331">
      <w:pPr>
        <w:widowControl w:val="0"/>
        <w:autoSpaceDE w:val="0"/>
        <w:spacing w:line="259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Матрацы воздушные должны также </w:t>
      </w:r>
      <w:r w:rsidRPr="00A0568C">
        <w:rPr>
          <w:rFonts w:eastAsia="Arial" w:cs="Arial"/>
          <w:kern w:val="0"/>
        </w:rPr>
        <w:t>соответствовать требованиям</w:t>
      </w:r>
      <w:r>
        <w:rPr>
          <w:rFonts w:eastAsia="Arial" w:cs="Arial"/>
          <w:kern w:val="0"/>
        </w:rPr>
        <w:t xml:space="preserve">: </w:t>
      </w:r>
      <w:r w:rsidRPr="00BE71C0">
        <w:rPr>
          <w:bCs/>
          <w:kern w:val="36"/>
          <w:lang w:eastAsia="ru-RU"/>
        </w:rPr>
        <w:t xml:space="preserve">ГОСТ </w:t>
      </w:r>
      <w:proofErr w:type="gramStart"/>
      <w:r w:rsidRPr="00BE71C0">
        <w:rPr>
          <w:bCs/>
          <w:kern w:val="36"/>
          <w:lang w:eastAsia="ru-RU"/>
        </w:rPr>
        <w:t>Р</w:t>
      </w:r>
      <w:proofErr w:type="gramEnd"/>
      <w:r w:rsidRPr="00BE71C0">
        <w:rPr>
          <w:bCs/>
          <w:kern w:val="36"/>
          <w:lang w:eastAsia="ru-RU"/>
        </w:rPr>
        <w:t xml:space="preserve"> 50444-92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Приборы, аппараты и оборудование медицинские. Общие технические условия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 xml:space="preserve">ГОСТ </w:t>
      </w:r>
      <w:proofErr w:type="gramStart"/>
      <w:r w:rsidRPr="00BE71C0">
        <w:rPr>
          <w:bCs/>
          <w:kern w:val="36"/>
          <w:lang w:eastAsia="ru-RU"/>
        </w:rPr>
        <w:t>Р</w:t>
      </w:r>
      <w:proofErr w:type="gramEnd"/>
      <w:r w:rsidRPr="00BE71C0">
        <w:rPr>
          <w:bCs/>
          <w:kern w:val="36"/>
          <w:lang w:eastAsia="ru-RU"/>
        </w:rPr>
        <w:t xml:space="preserve"> 50267.0-92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1. Общие требования безопасности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IEC 60601-1-1-2011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1-1. Общие требования безопасности. Требования безопасности к медицинским электрическим системам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 xml:space="preserve">ГОСТ </w:t>
      </w:r>
      <w:proofErr w:type="gramStart"/>
      <w:r w:rsidRPr="00BE71C0">
        <w:rPr>
          <w:bCs/>
          <w:kern w:val="36"/>
          <w:lang w:eastAsia="ru-RU"/>
        </w:rPr>
        <w:t>Р</w:t>
      </w:r>
      <w:proofErr w:type="gramEnd"/>
      <w:r w:rsidRPr="00BE71C0">
        <w:rPr>
          <w:bCs/>
          <w:kern w:val="36"/>
          <w:lang w:eastAsia="ru-RU"/>
        </w:rPr>
        <w:t xml:space="preserve"> МЭК 60601-1-2-2014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30324.0.4-2002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30324.35-2002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2. Частные требования безопасности к одеялам, подушкам и матрацам медицинским электрическим</w:t>
      </w:r>
      <w:r>
        <w:rPr>
          <w:bCs/>
          <w:kern w:val="0"/>
          <w:lang w:eastAsia="ru-RU"/>
        </w:rPr>
        <w:t>».</w:t>
      </w:r>
    </w:p>
    <w:p w:rsidR="006D1331" w:rsidRDefault="006D1331" w:rsidP="006D1331">
      <w:pPr>
        <w:widowControl w:val="0"/>
        <w:autoSpaceDE w:val="0"/>
        <w:spacing w:line="259" w:lineRule="auto"/>
        <w:ind w:firstLine="709"/>
        <w:jc w:val="both"/>
        <w:rPr>
          <w:b/>
          <w:u w:val="single"/>
        </w:rPr>
      </w:pPr>
    </w:p>
    <w:p w:rsidR="00B92856" w:rsidRDefault="00B92856" w:rsidP="00B92856">
      <w:pPr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Требования к маркировке, упаковке, отгрузке </w:t>
      </w:r>
      <w:r w:rsidR="009B59E9">
        <w:rPr>
          <w:b/>
          <w:u w:val="single"/>
        </w:rPr>
        <w:t>Товара</w:t>
      </w:r>
      <w:r>
        <w:rPr>
          <w:b/>
          <w:u w:val="single"/>
        </w:rPr>
        <w:t>:</w:t>
      </w:r>
    </w:p>
    <w:p w:rsidR="001C2185" w:rsidRPr="001C2185" w:rsidRDefault="001C2185" w:rsidP="00D96179">
      <w:pPr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1C2185">
        <w:rPr>
          <w:rFonts w:eastAsia="Lucida Sans Unicode"/>
          <w:kern w:val="3"/>
          <w:lang w:eastAsia="ru-RU"/>
        </w:rPr>
        <w:t>На товар должен быть нанесен товарный знак, установленный для предприятия-изготовителя,  маркировка, не нарушающая покрытие и товарный вид. При этом каждая единица продукции должна быть уложена в индивидуальную упаковку, предохраняющую  от повреждений при транспортировке и хранении. В комплект поставки должен входить  паспорт с гарантийным талоном на сервисное обслуживание.</w:t>
      </w:r>
    </w:p>
    <w:p w:rsidR="001C2185" w:rsidRPr="001C2185" w:rsidRDefault="001C2185" w:rsidP="00D96179">
      <w:pPr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1C2185">
        <w:rPr>
          <w:rFonts w:eastAsia="Lucida Sans Unicode"/>
          <w:kern w:val="3"/>
          <w:lang w:eastAsia="ru-RU"/>
        </w:rPr>
        <w:t>Транспортирование матрацев должно осуществляться любым в</w:t>
      </w:r>
      <w:r w:rsidRPr="001C2185">
        <w:rPr>
          <w:rFonts w:eastAsia="Lucida Sans Unicode"/>
          <w:color w:val="000000"/>
          <w:kern w:val="3"/>
          <w:lang w:eastAsia="ru-RU"/>
        </w:rPr>
        <w:t>идом крытого транспорта в соответствии с правилами перевозки грузов, действующими на данном виде транспорта.</w:t>
      </w:r>
    </w:p>
    <w:p w:rsidR="001C2185" w:rsidRDefault="001C2185" w:rsidP="00D96179">
      <w:pPr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 w:rsidRPr="001C2185">
        <w:rPr>
          <w:rFonts w:eastAsia="Lucida Sans Unicode"/>
          <w:color w:val="000000"/>
          <w:kern w:val="3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хранения.</w:t>
      </w:r>
      <w:r w:rsidR="00D96179">
        <w:rPr>
          <w:rFonts w:eastAsia="Lucida Sans Unicode"/>
          <w:color w:val="000000"/>
          <w:kern w:val="3"/>
          <w:lang w:eastAsia="ru-RU"/>
        </w:rPr>
        <w:t xml:space="preserve"> </w:t>
      </w:r>
      <w:r w:rsidRPr="001C2185">
        <w:rPr>
          <w:rFonts w:eastAsia="Lucida Sans Unicode"/>
          <w:color w:val="000000"/>
          <w:kern w:val="3"/>
          <w:lang w:eastAsia="ru-RU"/>
        </w:rPr>
        <w:t xml:space="preserve">При проведении </w:t>
      </w:r>
      <w:proofErr w:type="spellStart"/>
      <w:proofErr w:type="gramStart"/>
      <w:r w:rsidRPr="001C2185">
        <w:rPr>
          <w:rFonts w:eastAsia="Lucida Sans Unicode"/>
          <w:color w:val="000000"/>
          <w:kern w:val="3"/>
          <w:lang w:eastAsia="ru-RU"/>
        </w:rPr>
        <w:t>погрузо</w:t>
      </w:r>
      <w:proofErr w:type="spellEnd"/>
      <w:r w:rsidRPr="001C2185">
        <w:rPr>
          <w:rFonts w:eastAsia="Lucida Sans Unicode"/>
          <w:color w:val="000000"/>
          <w:kern w:val="3"/>
          <w:lang w:eastAsia="ru-RU"/>
        </w:rPr>
        <w:t xml:space="preserve"> - разгрузочных</w:t>
      </w:r>
      <w:proofErr w:type="gramEnd"/>
      <w:r w:rsidRPr="001C2185">
        <w:rPr>
          <w:rFonts w:eastAsia="Lucida Sans Unicode"/>
          <w:color w:val="000000"/>
          <w:kern w:val="3"/>
          <w:lang w:eastAsia="ru-RU"/>
        </w:rPr>
        <w:t xml:space="preserve"> работ не допускается повреждение упаковки Товара.</w:t>
      </w:r>
    </w:p>
    <w:p w:rsidR="00D96179" w:rsidRPr="001C2185" w:rsidRDefault="00D96179" w:rsidP="00D96179">
      <w:pPr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</w:p>
    <w:p w:rsidR="00B92856" w:rsidRDefault="00B92856" w:rsidP="00840DD7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(или) объему предоставленных гарантий качества товара:</w:t>
      </w:r>
    </w:p>
    <w:p w:rsidR="00986807" w:rsidRPr="00986807" w:rsidRDefault="00C83B14" w:rsidP="0006763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Гарантийный срок  в течение 24</w:t>
      </w:r>
      <w:r w:rsidR="00986807" w:rsidRPr="00986807">
        <w:rPr>
          <w:rFonts w:eastAsia="Lucida Sans Unicode"/>
        </w:rPr>
        <w:t xml:space="preserve"> месяц</w:t>
      </w:r>
      <w:r w:rsidR="00067636">
        <w:rPr>
          <w:rFonts w:eastAsia="Lucida Sans Unicode"/>
        </w:rPr>
        <w:t>ев после подписания Акта сдачи -</w:t>
      </w:r>
      <w:r w:rsidR="00986807" w:rsidRPr="00986807">
        <w:rPr>
          <w:rFonts w:eastAsia="Lucida Sans Unicode"/>
        </w:rPr>
        <w:t xml:space="preserve"> приемки Товара Получателе</w:t>
      </w:r>
      <w:r w:rsidR="00986807" w:rsidRPr="00986807">
        <w:rPr>
          <w:rFonts w:ascii="Arial" w:eastAsia="Lucida Sans Unicode" w:hAnsi="Arial"/>
          <w:sz w:val="20"/>
        </w:rPr>
        <w:t>м</w:t>
      </w:r>
      <w:r w:rsidR="00986807" w:rsidRPr="00986807">
        <w:rPr>
          <w:rFonts w:eastAsia="Lucida Sans Unicode"/>
        </w:rPr>
        <w:t xml:space="preserve">. </w:t>
      </w:r>
    </w:p>
    <w:p w:rsidR="00986807" w:rsidRPr="00986807" w:rsidRDefault="00986807" w:rsidP="0006763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Lucida Sans Unicode"/>
        </w:rPr>
      </w:pPr>
      <w:r w:rsidRPr="00986807">
        <w:rPr>
          <w:rFonts w:eastAsia="Lucida Sans Unicode"/>
        </w:rPr>
        <w:t xml:space="preserve">В период гарантийного срока Поставщик производит ремонт или замену Товара за счет собственных средств. </w:t>
      </w:r>
    </w:p>
    <w:p w:rsidR="00986807" w:rsidRPr="00986807" w:rsidRDefault="00986807" w:rsidP="0006763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Lucida Sans Unicode"/>
        </w:rPr>
      </w:pPr>
      <w:r w:rsidRPr="00986807">
        <w:rPr>
          <w:rFonts w:eastAsia="Lucida Sans Unicode"/>
        </w:rPr>
        <w:t xml:space="preserve">Обязательно наличие гарантийных талонов, дающих право на бесплатный ремонт во </w:t>
      </w:r>
      <w:r w:rsidRPr="00986807">
        <w:rPr>
          <w:rFonts w:eastAsia="Lucida Sans Unicode"/>
        </w:rPr>
        <w:lastRenderedPageBreak/>
        <w:t>время гарантийного срока.</w:t>
      </w:r>
    </w:p>
    <w:p w:rsidR="00986807" w:rsidRPr="00986807" w:rsidRDefault="00986807" w:rsidP="0006763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Lucida Sans Unicode"/>
        </w:rPr>
      </w:pPr>
      <w:r w:rsidRPr="00986807">
        <w:rPr>
          <w:rFonts w:eastAsia="Lucida Sans Unicode"/>
        </w:rPr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986807" w:rsidRPr="00986807" w:rsidRDefault="00986807" w:rsidP="0006763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Lucida Sans Unicode"/>
          <w:color w:val="000000"/>
        </w:rPr>
      </w:pPr>
      <w:r w:rsidRPr="00986807">
        <w:rPr>
          <w:rFonts w:eastAsia="Lucida Sans Unicode"/>
          <w:color w:val="000000"/>
        </w:rPr>
        <w:t>Обязательно указание поставщиком  срока службы Товара, установленного изготовителем, а также ГОСТы в соответствии с которыми они изготовлены.</w:t>
      </w:r>
    </w:p>
    <w:p w:rsidR="00986807" w:rsidRDefault="00986807" w:rsidP="00067636">
      <w:pPr>
        <w:widowControl w:val="0"/>
        <w:tabs>
          <w:tab w:val="left" w:pos="0"/>
        </w:tabs>
        <w:autoSpaceDE w:val="0"/>
        <w:snapToGrid w:val="0"/>
        <w:ind w:firstLine="709"/>
        <w:rPr>
          <w:rFonts w:eastAsia="Lucida Sans Unicode"/>
          <w:color w:val="000000"/>
        </w:rPr>
      </w:pPr>
      <w:r w:rsidRPr="00986807">
        <w:rPr>
          <w:rFonts w:eastAsia="Lucida Sans Unicode"/>
          <w:color w:val="000000"/>
        </w:rPr>
        <w:t>Сро</w:t>
      </w:r>
      <w:r w:rsidR="00C83B14">
        <w:rPr>
          <w:rFonts w:eastAsia="Lucida Sans Unicode"/>
          <w:color w:val="000000"/>
        </w:rPr>
        <w:t>к службы должен быть  не менее 3</w:t>
      </w:r>
      <w:r w:rsidRPr="00986807">
        <w:rPr>
          <w:rFonts w:eastAsia="Lucida Sans Unicode"/>
          <w:color w:val="000000"/>
        </w:rPr>
        <w:t xml:space="preserve"> лет. </w:t>
      </w:r>
    </w:p>
    <w:p w:rsidR="00067636" w:rsidRPr="00986807" w:rsidRDefault="00067636" w:rsidP="00067636">
      <w:pPr>
        <w:widowControl w:val="0"/>
        <w:tabs>
          <w:tab w:val="left" w:pos="0"/>
        </w:tabs>
        <w:autoSpaceDE w:val="0"/>
        <w:snapToGrid w:val="0"/>
        <w:ind w:firstLine="709"/>
        <w:rPr>
          <w:rFonts w:eastAsia="Lucida Sans Unicode"/>
          <w:color w:val="000000"/>
        </w:rPr>
      </w:pPr>
    </w:p>
    <w:p w:rsidR="00B92856" w:rsidRPr="00A2368F" w:rsidRDefault="00B92856" w:rsidP="00A2368F">
      <w:pPr>
        <w:tabs>
          <w:tab w:val="left" w:pos="8445"/>
        </w:tabs>
        <w:autoSpaceDN w:val="0"/>
        <w:jc w:val="both"/>
        <w:textAlignment w:val="baseline"/>
        <w:rPr>
          <w:rFonts w:ascii="Arial" w:hAnsi="Arial" w:cs="Tahoma"/>
          <w:kern w:val="3"/>
        </w:rPr>
      </w:pP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месту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условиям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срокам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B92856" w:rsidRDefault="00B92856" w:rsidP="00B92856">
      <w:pPr>
        <w:tabs>
          <w:tab w:val="left" w:pos="1176"/>
        </w:tabs>
        <w:suppressAutoHyphens w:val="0"/>
        <w:autoSpaceDE w:val="0"/>
        <w:autoSpaceDN w:val="0"/>
        <w:spacing w:line="302" w:lineRule="exact"/>
        <w:ind w:right="5"/>
        <w:jc w:val="both"/>
        <w:rPr>
          <w:kern w:val="0"/>
        </w:rPr>
      </w:pPr>
      <w:r>
        <w:rPr>
          <w:kern w:val="0"/>
        </w:rPr>
        <w:t xml:space="preserve"> 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 xml:space="preserve">- предоставление Заказчику в рамках </w:t>
      </w:r>
      <w:proofErr w:type="gramStart"/>
      <w:r>
        <w:rPr>
          <w:kern w:val="3"/>
        </w:rPr>
        <w:t>подтверждения исполнения государственного контракта журнала телефонных звонков</w:t>
      </w:r>
      <w:proofErr w:type="gramEnd"/>
      <w:r>
        <w:rPr>
          <w:kern w:val="3"/>
        </w:rPr>
        <w:t>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не позднее дня, следующего за датой доставки о невозможности предоставления технического средства реабилитации инвалидам;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инвалидов о дате, времени и месте поставки.</w:t>
      </w:r>
    </w:p>
    <w:p w:rsidR="00B92856" w:rsidRDefault="00B92856" w:rsidP="00B92856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92856" w:rsidRPr="00173057" w:rsidRDefault="00B92856" w:rsidP="00B92856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 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="00000466" w:rsidRPr="00000466">
        <w:rPr>
          <w:rFonts w:eastAsia="Andale Sans UI" w:cs="Tahoma"/>
          <w:b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нахождения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Поставщика</w:t>
      </w:r>
      <w:proofErr w:type="spellEnd"/>
      <w:r>
        <w:rPr>
          <w:rFonts w:eastAsia="Andale Sans UI" w:cs="Tahoma"/>
          <w:kern w:val="3"/>
          <w:lang w:eastAsia="ja-JP" w:bidi="fa-IR"/>
        </w:rPr>
        <w:t>, либо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 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Дальнереченск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Лесозаводск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Спасск-Дальний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пгт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Лучегорск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Владивосток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Артем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Большой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Камень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Славянка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Фокино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Находка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Арсеньев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Кавалерово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  <w:r w:rsidR="00173057">
        <w:rPr>
          <w:rFonts w:eastAsia="Andale Sans UI" w:cs="Tahoma"/>
          <w:kern w:val="3"/>
          <w:lang w:eastAsia="ja-JP" w:bidi="fa-IR"/>
        </w:rPr>
        <w:t>.</w:t>
      </w:r>
    </w:p>
    <w:p w:rsidR="00B92856" w:rsidRDefault="00B92856" w:rsidP="00B92856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B92856" w:rsidRPr="00E81740" w:rsidRDefault="00B92856" w:rsidP="00B92856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4564B2">
        <w:rPr>
          <w:rFonts w:eastAsia="Andale Sans UI" w:cs="Tahoma"/>
          <w:kern w:val="3"/>
          <w:lang w:eastAsia="ja-JP" w:bidi="fa-IR"/>
        </w:rPr>
        <w:t>до</w:t>
      </w:r>
      <w:r w:rsidR="004564B2">
        <w:t xml:space="preserve"> </w:t>
      </w:r>
      <w:r w:rsidR="00653BE3">
        <w:t>01 мая 201</w:t>
      </w:r>
      <w:r w:rsidR="002A195E">
        <w:t>9</w:t>
      </w:r>
      <w:r w:rsidR="004564B2">
        <w:t xml:space="preserve"> </w:t>
      </w:r>
      <w:r w:rsidR="00F10777">
        <w:t xml:space="preserve">года </w:t>
      </w:r>
      <w:r w:rsidR="004564B2">
        <w:t xml:space="preserve">должно быть поставлено - 20% Товара, а до 01 </w:t>
      </w:r>
      <w:r w:rsidR="00653BE3">
        <w:t>августа 201</w:t>
      </w:r>
      <w:r w:rsidR="002A195E">
        <w:t>9</w:t>
      </w:r>
      <w:r w:rsidR="006862D7" w:rsidRPr="00F469EF">
        <w:t xml:space="preserve"> года должно быть поставлено – 100%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="00E81740">
        <w:rPr>
          <w:rFonts w:eastAsia="Andale Sans UI" w:cs="Tahoma"/>
          <w:kern w:val="3"/>
          <w:lang w:eastAsia="ja-JP" w:bidi="fa-IR"/>
        </w:rPr>
        <w:t>.</w:t>
      </w:r>
    </w:p>
    <w:p w:rsidR="00B92856" w:rsidRDefault="00B92856" w:rsidP="00B92856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color w:val="000000"/>
          <w:kern w:val="3"/>
          <w:lang w:eastAsia="ja-JP" w:bidi="fa-IR"/>
        </w:rPr>
      </w:pPr>
    </w:p>
    <w:p w:rsidR="00B61FE2" w:rsidRDefault="00B92856" w:rsidP="00DF7CA3">
      <w:pPr>
        <w:tabs>
          <w:tab w:val="left" w:pos="0"/>
        </w:tabs>
        <w:autoSpaceDN w:val="0"/>
        <w:snapToGrid w:val="0"/>
        <w:jc w:val="both"/>
        <w:textAlignment w:val="baseline"/>
        <w:rPr>
          <w:color w:val="000000"/>
          <w:kern w:val="3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3</w:t>
      </w:r>
      <w:r>
        <w:rPr>
          <w:rFonts w:eastAsia="Andale Sans UI" w:cs="Tahoma"/>
          <w:kern w:val="3"/>
          <w:lang w:val="de-DE" w:eastAsia="ja-JP" w:bidi="fa-IR"/>
        </w:rPr>
        <w:t xml:space="preserve">0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выборочной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</w:t>
      </w:r>
      <w:r>
        <w:rPr>
          <w:rFonts w:eastAsia="Andale Sans UI" w:cs="Tahoma"/>
          <w:kern w:val="3"/>
          <w:lang w:eastAsia="ja-JP" w:bidi="fa-IR"/>
        </w:rPr>
        <w:t>ъявлении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>.</w:t>
      </w:r>
    </w:p>
    <w:p w:rsidR="00B61FE2" w:rsidRDefault="00B61FE2" w:rsidP="00C50C74">
      <w:pPr>
        <w:suppressAutoHyphens w:val="0"/>
        <w:autoSpaceDN w:val="0"/>
        <w:spacing w:before="100"/>
        <w:ind w:firstLine="709"/>
        <w:jc w:val="both"/>
        <w:textAlignment w:val="baseline"/>
        <w:rPr>
          <w:color w:val="000000"/>
          <w:kern w:val="3"/>
        </w:rPr>
      </w:pPr>
    </w:p>
    <w:p w:rsidR="00B92856" w:rsidRDefault="00B92856" w:rsidP="00B92856">
      <w:pPr>
        <w:keepNext/>
        <w:suppressAutoHyphens w:val="0"/>
        <w:autoSpaceDN w:val="0"/>
        <w:ind w:firstLine="720"/>
        <w:jc w:val="both"/>
        <w:textAlignment w:val="baseline"/>
        <w:rPr>
          <w:color w:val="000000"/>
          <w:kern w:val="3"/>
        </w:rPr>
      </w:pPr>
    </w:p>
    <w:p w:rsidR="00B92856" w:rsidRDefault="00B92856" w:rsidP="00B92856">
      <w:pPr>
        <w:keepNext/>
        <w:suppressAutoHyphens w:val="0"/>
        <w:autoSpaceDN w:val="0"/>
        <w:ind w:firstLine="720"/>
        <w:jc w:val="both"/>
        <w:textAlignment w:val="baseline"/>
        <w:rPr>
          <w:color w:val="000000"/>
          <w:kern w:val="3"/>
        </w:rPr>
      </w:pPr>
      <w:bookmarkStart w:id="0" w:name="_GoBack"/>
      <w:bookmarkEnd w:id="0"/>
    </w:p>
    <w:sectPr w:rsidR="00B92856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1354C"/>
    <w:rsid w:val="000371F5"/>
    <w:rsid w:val="00064224"/>
    <w:rsid w:val="00067636"/>
    <w:rsid w:val="00070583"/>
    <w:rsid w:val="000978C6"/>
    <w:rsid w:val="000C3487"/>
    <w:rsid w:val="000D308B"/>
    <w:rsid w:val="000E1914"/>
    <w:rsid w:val="000F7814"/>
    <w:rsid w:val="0011564A"/>
    <w:rsid w:val="00120200"/>
    <w:rsid w:val="001315B0"/>
    <w:rsid w:val="00132801"/>
    <w:rsid w:val="00140D4E"/>
    <w:rsid w:val="001710A4"/>
    <w:rsid w:val="00173057"/>
    <w:rsid w:val="00194F7C"/>
    <w:rsid w:val="001A51A7"/>
    <w:rsid w:val="001B0BE5"/>
    <w:rsid w:val="001B52C7"/>
    <w:rsid w:val="001B7F47"/>
    <w:rsid w:val="001C1185"/>
    <w:rsid w:val="001C2185"/>
    <w:rsid w:val="001D17BA"/>
    <w:rsid w:val="00200EA1"/>
    <w:rsid w:val="00205BD6"/>
    <w:rsid w:val="002223D0"/>
    <w:rsid w:val="002405B2"/>
    <w:rsid w:val="00242F2E"/>
    <w:rsid w:val="002700A3"/>
    <w:rsid w:val="002719CE"/>
    <w:rsid w:val="00277140"/>
    <w:rsid w:val="002A195E"/>
    <w:rsid w:val="002C69E0"/>
    <w:rsid w:val="002D43EA"/>
    <w:rsid w:val="002D6AF8"/>
    <w:rsid w:val="002F05A3"/>
    <w:rsid w:val="002F4125"/>
    <w:rsid w:val="00304E4F"/>
    <w:rsid w:val="003144F1"/>
    <w:rsid w:val="0031730E"/>
    <w:rsid w:val="00344C52"/>
    <w:rsid w:val="003649E5"/>
    <w:rsid w:val="00380388"/>
    <w:rsid w:val="003B7465"/>
    <w:rsid w:val="003C05A2"/>
    <w:rsid w:val="003C2895"/>
    <w:rsid w:val="003C2AF5"/>
    <w:rsid w:val="003D0DC0"/>
    <w:rsid w:val="003D4479"/>
    <w:rsid w:val="003E0616"/>
    <w:rsid w:val="00410FCF"/>
    <w:rsid w:val="004134A6"/>
    <w:rsid w:val="00415352"/>
    <w:rsid w:val="00434B5A"/>
    <w:rsid w:val="00450D5D"/>
    <w:rsid w:val="004564B2"/>
    <w:rsid w:val="00474FD5"/>
    <w:rsid w:val="00484FBA"/>
    <w:rsid w:val="00492129"/>
    <w:rsid w:val="00494DD7"/>
    <w:rsid w:val="004B5F37"/>
    <w:rsid w:val="004C3A24"/>
    <w:rsid w:val="004F4F56"/>
    <w:rsid w:val="00500562"/>
    <w:rsid w:val="00507A65"/>
    <w:rsid w:val="0052244B"/>
    <w:rsid w:val="00524110"/>
    <w:rsid w:val="005306C4"/>
    <w:rsid w:val="005454CE"/>
    <w:rsid w:val="005832F2"/>
    <w:rsid w:val="005A4D29"/>
    <w:rsid w:val="005A6656"/>
    <w:rsid w:val="005A7A31"/>
    <w:rsid w:val="005B3460"/>
    <w:rsid w:val="00617635"/>
    <w:rsid w:val="0062773C"/>
    <w:rsid w:val="0064334F"/>
    <w:rsid w:val="00653BE3"/>
    <w:rsid w:val="006568C9"/>
    <w:rsid w:val="0066462D"/>
    <w:rsid w:val="006862D7"/>
    <w:rsid w:val="006939F3"/>
    <w:rsid w:val="00695F34"/>
    <w:rsid w:val="006A006C"/>
    <w:rsid w:val="006B182B"/>
    <w:rsid w:val="006C484A"/>
    <w:rsid w:val="006D1331"/>
    <w:rsid w:val="006E6F65"/>
    <w:rsid w:val="006E7F9A"/>
    <w:rsid w:val="006F60F3"/>
    <w:rsid w:val="00730582"/>
    <w:rsid w:val="0074593F"/>
    <w:rsid w:val="00753C48"/>
    <w:rsid w:val="00780862"/>
    <w:rsid w:val="00786C55"/>
    <w:rsid w:val="0078755F"/>
    <w:rsid w:val="007F1973"/>
    <w:rsid w:val="00807959"/>
    <w:rsid w:val="008243AD"/>
    <w:rsid w:val="008406E9"/>
    <w:rsid w:val="00840DD7"/>
    <w:rsid w:val="00847015"/>
    <w:rsid w:val="00851328"/>
    <w:rsid w:val="008641A2"/>
    <w:rsid w:val="00881D60"/>
    <w:rsid w:val="00890121"/>
    <w:rsid w:val="00893452"/>
    <w:rsid w:val="008C24E0"/>
    <w:rsid w:val="008C45E9"/>
    <w:rsid w:val="008D7BA7"/>
    <w:rsid w:val="00902DFF"/>
    <w:rsid w:val="009104E7"/>
    <w:rsid w:val="009323DD"/>
    <w:rsid w:val="009649D6"/>
    <w:rsid w:val="009705AC"/>
    <w:rsid w:val="00986807"/>
    <w:rsid w:val="00992A1A"/>
    <w:rsid w:val="009A53A2"/>
    <w:rsid w:val="009A5A31"/>
    <w:rsid w:val="009B2444"/>
    <w:rsid w:val="009B59E9"/>
    <w:rsid w:val="009C1C2D"/>
    <w:rsid w:val="009D5482"/>
    <w:rsid w:val="009E4F02"/>
    <w:rsid w:val="009F07FD"/>
    <w:rsid w:val="00A0568C"/>
    <w:rsid w:val="00A1744E"/>
    <w:rsid w:val="00A2368F"/>
    <w:rsid w:val="00A40A9F"/>
    <w:rsid w:val="00A65700"/>
    <w:rsid w:val="00A71649"/>
    <w:rsid w:val="00A73CEA"/>
    <w:rsid w:val="00A80783"/>
    <w:rsid w:val="00AA0391"/>
    <w:rsid w:val="00AB01F9"/>
    <w:rsid w:val="00AB0B26"/>
    <w:rsid w:val="00AB2706"/>
    <w:rsid w:val="00B04EF4"/>
    <w:rsid w:val="00B34529"/>
    <w:rsid w:val="00B43B0A"/>
    <w:rsid w:val="00B509AD"/>
    <w:rsid w:val="00B61FE2"/>
    <w:rsid w:val="00B91F07"/>
    <w:rsid w:val="00B92856"/>
    <w:rsid w:val="00BE201C"/>
    <w:rsid w:val="00BE71C0"/>
    <w:rsid w:val="00C16658"/>
    <w:rsid w:val="00C32638"/>
    <w:rsid w:val="00C33094"/>
    <w:rsid w:val="00C50C74"/>
    <w:rsid w:val="00C52BA3"/>
    <w:rsid w:val="00C8137E"/>
    <w:rsid w:val="00C83B14"/>
    <w:rsid w:val="00CA5BE9"/>
    <w:rsid w:val="00CD51C4"/>
    <w:rsid w:val="00CD7F96"/>
    <w:rsid w:val="00D02A57"/>
    <w:rsid w:val="00D61BD5"/>
    <w:rsid w:val="00D90B5F"/>
    <w:rsid w:val="00D96179"/>
    <w:rsid w:val="00D976BA"/>
    <w:rsid w:val="00D97A85"/>
    <w:rsid w:val="00DC00DD"/>
    <w:rsid w:val="00DC7504"/>
    <w:rsid w:val="00DF7CA3"/>
    <w:rsid w:val="00E01834"/>
    <w:rsid w:val="00E13124"/>
    <w:rsid w:val="00E33CA0"/>
    <w:rsid w:val="00E44A7D"/>
    <w:rsid w:val="00E7714C"/>
    <w:rsid w:val="00E81740"/>
    <w:rsid w:val="00E93416"/>
    <w:rsid w:val="00EA2933"/>
    <w:rsid w:val="00EA436E"/>
    <w:rsid w:val="00EB2182"/>
    <w:rsid w:val="00EE0F7C"/>
    <w:rsid w:val="00EE75B7"/>
    <w:rsid w:val="00F02323"/>
    <w:rsid w:val="00F045AE"/>
    <w:rsid w:val="00F10777"/>
    <w:rsid w:val="00F16A2F"/>
    <w:rsid w:val="00F32496"/>
    <w:rsid w:val="00F469EF"/>
    <w:rsid w:val="00F5010D"/>
    <w:rsid w:val="00F64C32"/>
    <w:rsid w:val="00F96A39"/>
    <w:rsid w:val="00FA0C79"/>
    <w:rsid w:val="00FA14E9"/>
    <w:rsid w:val="00FA5CBA"/>
    <w:rsid w:val="00FD18DD"/>
    <w:rsid w:val="00FD7913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24">
    <w:name w:val="Основной текст 24"/>
    <w:basedOn w:val="a"/>
    <w:rsid w:val="00EE75B7"/>
    <w:pPr>
      <w:autoSpaceDN w:val="0"/>
      <w:jc w:val="both"/>
    </w:pPr>
    <w:rPr>
      <w:kern w:val="0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24">
    <w:name w:val="Основной текст 24"/>
    <w:basedOn w:val="a"/>
    <w:rsid w:val="00EE75B7"/>
    <w:pPr>
      <w:autoSpaceDN w:val="0"/>
      <w:jc w:val="both"/>
    </w:pPr>
    <w:rPr>
      <w:kern w:val="0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E432-8542-4FAA-9949-3267813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Корнильева </cp:lastModifiedBy>
  <cp:revision>109</cp:revision>
  <cp:lastPrinted>2015-05-08T04:03:00Z</cp:lastPrinted>
  <dcterms:created xsi:type="dcterms:W3CDTF">2017-01-24T04:17:00Z</dcterms:created>
  <dcterms:modified xsi:type="dcterms:W3CDTF">2018-12-19T01:15:00Z</dcterms:modified>
</cp:coreProperties>
</file>