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F5" w:rsidRPr="00501FF5" w:rsidRDefault="00501FF5" w:rsidP="00501FF5">
      <w:pPr>
        <w:jc w:val="center"/>
        <w:rPr>
          <w:b/>
          <w:bCs/>
          <w:lang w:val="ru-RU"/>
        </w:rPr>
      </w:pPr>
      <w:r w:rsidRPr="00501FF5">
        <w:rPr>
          <w:b/>
          <w:bCs/>
          <w:lang w:val="ru-RU"/>
        </w:rPr>
        <w:t>Описание объекта закупки (техническое задание)</w:t>
      </w:r>
    </w:p>
    <w:p w:rsidR="00501FF5" w:rsidRDefault="00501FF5" w:rsidP="00BD4929">
      <w:pPr>
        <w:jc w:val="both"/>
        <w:rPr>
          <w:b/>
          <w:bCs/>
          <w:lang w:val="ru-RU"/>
        </w:rPr>
      </w:pPr>
    </w:p>
    <w:p w:rsidR="00BD4929" w:rsidRPr="00EC48D5" w:rsidRDefault="00BD4929" w:rsidP="00BD4929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BD4929" w:rsidRPr="00B252EE" w:rsidRDefault="00BD4929" w:rsidP="00BD4929">
      <w:pPr>
        <w:autoSpaceDE w:val="0"/>
        <w:jc w:val="both"/>
      </w:pPr>
      <w:r w:rsidRPr="00B252E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BD4929" w:rsidRPr="00B252EE" w:rsidRDefault="00BD4929" w:rsidP="00BD4929">
      <w:pPr>
        <w:jc w:val="both"/>
        <w:rPr>
          <w:bCs/>
          <w:iCs/>
        </w:rPr>
      </w:pPr>
      <w:r w:rsidRPr="00B252EE">
        <w:t xml:space="preserve">1.2. </w:t>
      </w:r>
      <w:r>
        <w:t>У</w:t>
      </w:r>
      <w:r w:rsidRPr="00B252EE">
        <w:rPr>
          <w:bCs/>
          <w:iCs/>
        </w:rPr>
        <w:t>паковка Изделий должна обеспечивать защиту Изделий от повреждений, порчи (изнашивания) или загрязнения во время хранения и транспортирования к месту использования по назначению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BD4929" w:rsidRPr="00B252EE" w:rsidRDefault="00BD4929" w:rsidP="00BD4929">
      <w:pPr>
        <w:jc w:val="both"/>
      </w:pPr>
      <w:r w:rsidRPr="00B252EE">
        <w:t>1.</w:t>
      </w:r>
      <w:r>
        <w:t>3</w:t>
      </w:r>
      <w:r w:rsidRPr="00B252EE">
        <w:t>. Изделия должны быть новыми. Изделия должны быть свободными от прав третьих лиц.</w:t>
      </w:r>
    </w:p>
    <w:p w:rsidR="00BD4929" w:rsidRPr="00B252EE" w:rsidRDefault="00BD4929" w:rsidP="00BD4929">
      <w:pPr>
        <w:jc w:val="both"/>
      </w:pPr>
      <w:r>
        <w:t>1.4</w:t>
      </w:r>
      <w:r w:rsidRPr="00B252EE">
        <w:t xml:space="preserve">. </w:t>
      </w:r>
      <w:r w:rsidRPr="00B252EE">
        <w:rPr>
          <w:lang w:eastAsia="ar-SA"/>
        </w:rPr>
        <w:t xml:space="preserve">Изделия должны отвечать следующим </w:t>
      </w:r>
      <w:proofErr w:type="gramStart"/>
      <w:r w:rsidRPr="00B252EE">
        <w:rPr>
          <w:lang w:eastAsia="ar-SA"/>
        </w:rPr>
        <w:t>требованиям</w:t>
      </w:r>
      <w:r w:rsidRPr="00B252EE">
        <w:rPr>
          <w:vertAlign w:val="superscript"/>
        </w:rPr>
        <w:t xml:space="preserve"> </w:t>
      </w:r>
      <w:proofErr w:type="gramEnd"/>
      <w:r w:rsidRPr="00B252EE">
        <w:rPr>
          <w:vertAlign w:val="superscript"/>
        </w:rPr>
        <w:footnoteReference w:id="1"/>
      </w:r>
      <w:r w:rsidRPr="00B252EE">
        <w:t>:</w:t>
      </w:r>
    </w:p>
    <w:tbl>
      <w:tblPr>
        <w:tblW w:w="9698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2450"/>
        <w:gridCol w:w="2499"/>
        <w:gridCol w:w="1844"/>
        <w:gridCol w:w="1521"/>
        <w:gridCol w:w="1384"/>
      </w:tblGrid>
      <w:tr w:rsidR="00BD4929" w:rsidRPr="00FC7C48" w:rsidTr="00D6622A">
        <w:trPr>
          <w:trHeight w:val="201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b/>
              </w:rPr>
            </w:pPr>
            <w:r w:rsidRPr="00FC7C48">
              <w:rPr>
                <w:b/>
              </w:rPr>
              <w:t xml:space="preserve">Наименование </w:t>
            </w:r>
            <w:r>
              <w:rPr>
                <w:b/>
              </w:rPr>
              <w:t>Изделия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4929" w:rsidRPr="00FC7C48" w:rsidRDefault="00BD4929" w:rsidP="00D6622A">
            <w:pPr>
              <w:jc w:val="center"/>
              <w:rPr>
                <w:b/>
              </w:rPr>
            </w:pPr>
            <w:r w:rsidRPr="00FC7C48">
              <w:rPr>
                <w:b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tabs>
                <w:tab w:val="num" w:pos="202"/>
              </w:tabs>
              <w:ind w:left="-108" w:right="-108" w:firstLine="108"/>
              <w:jc w:val="center"/>
              <w:rPr>
                <w:b/>
              </w:rPr>
            </w:pPr>
            <w:r w:rsidRPr="00FC7C48">
              <w:rPr>
                <w:b/>
              </w:rPr>
              <w:t xml:space="preserve">Характеристика показателя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4929" w:rsidRPr="00FC7C48" w:rsidRDefault="00BD4929" w:rsidP="00D6622A">
            <w:pPr>
              <w:tabs>
                <w:tab w:val="left" w:pos="1735"/>
              </w:tabs>
              <w:ind w:left="-108"/>
              <w:jc w:val="center"/>
              <w:rPr>
                <w:b/>
              </w:rPr>
            </w:pPr>
            <w:r w:rsidRPr="00FC7C48">
              <w:rPr>
                <w:b/>
              </w:rPr>
              <w:t>ГОСТ, технический регламент/ обоснование</w:t>
            </w:r>
          </w:p>
          <w:p w:rsidR="00BD4929" w:rsidRPr="00FC7C48" w:rsidRDefault="00BD4929" w:rsidP="00D6622A">
            <w:pPr>
              <w:framePr w:hSpace="180" w:wrap="around" w:vAnchor="text" w:hAnchor="margin" w:x="-252" w:y="78"/>
              <w:tabs>
                <w:tab w:val="left" w:pos="1735"/>
              </w:tabs>
              <w:ind w:left="-108"/>
              <w:jc w:val="center"/>
              <w:rPr>
                <w:b/>
              </w:rPr>
            </w:pPr>
            <w:r w:rsidRPr="00FC7C48">
              <w:rPr>
                <w:b/>
              </w:rPr>
              <w:t xml:space="preserve">использования </w:t>
            </w:r>
          </w:p>
          <w:p w:rsidR="00BD4929" w:rsidRPr="00FC7C48" w:rsidRDefault="00BD4929" w:rsidP="00D6622A">
            <w:pPr>
              <w:framePr w:hSpace="180" w:wrap="around" w:vAnchor="text" w:hAnchor="margin" w:x="-252" w:y="78"/>
              <w:tabs>
                <w:tab w:val="left" w:pos="1735"/>
              </w:tabs>
              <w:ind w:left="-108"/>
              <w:jc w:val="center"/>
              <w:rPr>
                <w:b/>
              </w:rPr>
            </w:pPr>
            <w:r w:rsidRPr="00FC7C48">
              <w:rPr>
                <w:b/>
              </w:rPr>
              <w:t>(в том числе его характеристика)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snapToGrid w:val="0"/>
              <w:rPr>
                <w:b/>
              </w:rPr>
            </w:pPr>
            <w:r w:rsidRPr="00FC7C48">
              <w:rPr>
                <w:b/>
              </w:rPr>
              <w:t>Кол</w:t>
            </w:r>
            <w:r>
              <w:rPr>
                <w:b/>
              </w:rPr>
              <w:t>-в</w:t>
            </w:r>
            <w:r w:rsidRPr="00FC7C48">
              <w:rPr>
                <w:b/>
              </w:rPr>
              <w:t>о, штук</w:t>
            </w:r>
          </w:p>
        </w:tc>
      </w:tr>
      <w:tr w:rsidR="00BD4929" w:rsidRPr="00FC7C48" w:rsidTr="00D6622A">
        <w:trPr>
          <w:trHeight w:val="924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Pr="00633A5C" w:rsidRDefault="00BD4929" w:rsidP="00D6622A">
            <w:pPr>
              <w:snapToGrid w:val="0"/>
              <w:rPr>
                <w:bCs/>
              </w:rPr>
            </w:pPr>
            <w:r w:rsidRPr="00633A5C">
              <w:rPr>
                <w:bCs/>
              </w:rPr>
              <w:t>Система противопролежневая  с надувным матрасом с регулируемым давлением</w:t>
            </w: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Default="00BD4929" w:rsidP="00D6622A">
            <w:pPr>
              <w:snapToGrid w:val="0"/>
              <w:rPr>
                <w:bCs/>
              </w:rPr>
            </w:pPr>
          </w:p>
          <w:p w:rsidR="00BD4929" w:rsidRPr="00FC7C48" w:rsidRDefault="00BD4929" w:rsidP="00D6622A">
            <w:pPr>
              <w:snapToGrid w:val="0"/>
              <w:rPr>
                <w:bCs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9" w:rsidRDefault="00BD4929" w:rsidP="00D6622A">
            <w:pPr>
              <w:snapToGrid w:val="0"/>
            </w:pPr>
            <w:r>
              <w:lastRenderedPageBreak/>
              <w:t>Противопро</w:t>
            </w:r>
          </w:p>
          <w:p w:rsidR="00BD4929" w:rsidRPr="00FC7C48" w:rsidRDefault="00BD4929" w:rsidP="00D6622A">
            <w:pPr>
              <w:snapToGrid w:val="0"/>
            </w:pPr>
            <w:r>
              <w:t>лежневый матрац воздушный (с компрессором)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Приказ Министерства труда и социальной защиты РФ от 13.02.2018 №86н</w:t>
            </w: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300</w:t>
            </w: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</w:tr>
      <w:tr w:rsidR="00BD4929" w:rsidRPr="00FC7C48" w:rsidTr="00D6622A">
        <w:trPr>
          <w:trHeight w:val="924"/>
        </w:trPr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Default="00BD4929" w:rsidP="00D6622A">
            <w:pPr>
              <w:snapToGrid w:val="0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9" w:rsidRPr="00FC7C48" w:rsidRDefault="00BD4929" w:rsidP="00D6622A">
            <w:pPr>
              <w:snapToGrid w:val="0"/>
            </w:pPr>
            <w:r w:rsidRPr="00FC7C48">
              <w:t>Работа компрессора от электросети с напряжением 220В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C7C48">
              <w:rPr>
                <w:rFonts w:eastAsia="Arial Unicode MS"/>
              </w:rPr>
              <w:t>Наличие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29" w:rsidRPr="009D5EB7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9D5EB7">
              <w:rPr>
                <w:rFonts w:eastAsia="Arial Unicode MS"/>
              </w:rPr>
              <w:t>Методические рекомендации по установлению медицинских показаний и противопоказаний при назначении специалиста</w:t>
            </w:r>
            <w:r w:rsidRPr="009D5EB7">
              <w:rPr>
                <w:rFonts w:eastAsia="Arial Unicode MS"/>
              </w:rPr>
              <w:lastRenderedPageBreak/>
              <w:t>ми медико-социальной экспертизы технических средств реабилитации инвалида и методика их рационального подбора</w:t>
            </w:r>
            <w:r>
              <w:rPr>
                <w:rFonts w:eastAsia="Arial Unicode MS"/>
              </w:rPr>
              <w:t xml:space="preserve"> (далее-Методические рекомендации)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 w:rsidRPr="00FC7C48">
              <w:t>Компрессор воздушный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C7C48">
              <w:rPr>
                <w:rFonts w:eastAsia="Arial Unicode MS"/>
              </w:rPr>
              <w:t xml:space="preserve">наличие 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rPr>
                <w:rFonts w:eastAsia="Arial Unicode MS"/>
              </w:rPr>
            </w:pPr>
            <w:r w:rsidRPr="00FC7C48">
              <w:t>Наполняемость внутреннего объема противопролежневых матрацев – воздух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C7C48">
              <w:rPr>
                <w:rFonts w:eastAsia="Arial Unicode MS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>
              <w:t>Воздушный компрессор должен обеспечивать</w:t>
            </w:r>
            <w:r w:rsidRPr="00FC7C48">
              <w:t xml:space="preserve"> </w:t>
            </w:r>
            <w:r>
              <w:t xml:space="preserve">регулировку </w:t>
            </w:r>
            <w:r w:rsidRPr="00FC7C48">
              <w:t>давления в ячейках матраца в зависимости от веса Получателя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</w:pPr>
            <w:r w:rsidRPr="00FC7C48"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9D5EB7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 w:rsidRPr="00FC7C48">
              <w:t>Паспорт Изделия, либо документ его заменяющий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</w:pPr>
            <w:r w:rsidRPr="00FC7C48">
              <w:t>наличие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lang w:val="en-US" w:eastAsia="ar-SA"/>
              </w:rPr>
              <w:t>ГОСТ 2.601-2013 ЕКСД</w:t>
            </w: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 w:rsidRPr="00FC7C48">
              <w:t xml:space="preserve">Длина </w:t>
            </w:r>
            <w:r w:rsidRPr="00FC7C48">
              <w:rPr>
                <w:rFonts w:eastAsia="Arial Unicode MS"/>
              </w:rPr>
              <w:t>матраца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C7C48">
              <w:rPr>
                <w:rFonts w:eastAsia="Arial Unicode MS"/>
              </w:rPr>
              <w:t>Не менее 1800 мм (включительно)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9" w:rsidRPr="00AD02F1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AD02F1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 w:rsidRPr="00FC7C48">
              <w:t xml:space="preserve">Ширина </w:t>
            </w:r>
            <w:r w:rsidRPr="00FC7C48">
              <w:rPr>
                <w:rFonts w:eastAsia="Arial Unicode MS"/>
              </w:rPr>
              <w:t>матраца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C7C48">
              <w:rPr>
                <w:rFonts w:eastAsia="Arial Unicode MS"/>
              </w:rPr>
              <w:t>Не менее 840 мм (включительно)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4929" w:rsidRDefault="00BD4929" w:rsidP="00D6622A">
            <w:pPr>
              <w:tabs>
                <w:tab w:val="left" w:pos="3686"/>
              </w:tabs>
              <w:snapToGrid w:val="0"/>
              <w:jc w:val="both"/>
            </w:pPr>
            <w:r>
              <w:t>Подушка противопролежневая надувная для сидения</w:t>
            </w:r>
          </w:p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29" w:rsidRDefault="00BD4929" w:rsidP="00D6622A">
            <w:pPr>
              <w:tabs>
                <w:tab w:val="num" w:pos="1069"/>
              </w:tabs>
              <w:jc w:val="both"/>
            </w:pPr>
            <w:r>
              <w:t>Противопролежне</w:t>
            </w:r>
          </w:p>
          <w:p w:rsidR="00BD4929" w:rsidRPr="002A6C02" w:rsidRDefault="00BD4929" w:rsidP="00D6622A">
            <w:pPr>
              <w:tabs>
                <w:tab w:val="num" w:pos="1069"/>
              </w:tabs>
            </w:pPr>
            <w:r>
              <w:t>вая подушка воздушная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Pr="00475DA5" w:rsidRDefault="00BD4929" w:rsidP="00D6622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262F95">
              <w:rPr>
                <w:rFonts w:eastAsia="Arial Unicode MS"/>
              </w:rPr>
              <w:t>Приказ Министерства труда и социальной защиты РФ от 13.02.2018 №86н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BD4929" w:rsidRPr="00FC7C48" w:rsidTr="00D6622A"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D4929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29" w:rsidRPr="002A6C02" w:rsidRDefault="00BD4929" w:rsidP="00D6622A">
            <w:pPr>
              <w:tabs>
                <w:tab w:val="num" w:pos="1069"/>
              </w:tabs>
            </w:pPr>
            <w:r w:rsidRPr="002A6C02">
              <w:t>Наполняемость внутреннего объема подушки – воздух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Pr="00475DA5" w:rsidRDefault="00BD4929" w:rsidP="00D6622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75DA5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7610AF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C07B8A" w:rsidRDefault="00BD4929" w:rsidP="00D6622A">
            <w:pPr>
              <w:snapToGrid w:val="0"/>
            </w:pPr>
            <w:r w:rsidRPr="00C07B8A">
              <w:t>Изделие состоит из надувных камер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Pr="00475DA5" w:rsidRDefault="00BD4929" w:rsidP="00D6622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9D5EB7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</w:pPr>
            <w:r w:rsidRPr="00072D3A">
              <w:t xml:space="preserve">Длина </w:t>
            </w:r>
            <w:r>
              <w:rPr>
                <w:rFonts w:eastAsia="Arial Unicode MS"/>
              </w:rPr>
              <w:t>подушки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072D3A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37</w:t>
            </w:r>
            <w:r w:rsidRPr="00072D3A">
              <w:rPr>
                <w:rFonts w:eastAsia="Arial Unicode MS"/>
              </w:rPr>
              <w:t>0 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7610AF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</w:pPr>
            <w:r w:rsidRPr="00072D3A">
              <w:t xml:space="preserve">Ширина </w:t>
            </w:r>
            <w:r>
              <w:rPr>
                <w:rFonts w:eastAsia="Arial Unicode MS"/>
              </w:rPr>
              <w:t>подушки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072D3A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37</w:t>
            </w:r>
            <w:r w:rsidRPr="00072D3A">
              <w:rPr>
                <w:rFonts w:eastAsia="Arial Unicode MS"/>
              </w:rPr>
              <w:t>0 мм (включительно)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Толщина подушки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072D3A" w:rsidRDefault="00BD4929" w:rsidP="00D6622A">
            <w:pPr>
              <w:snapToGrid w:val="0"/>
              <w:jc w:val="center"/>
            </w:pPr>
            <w:r w:rsidRPr="00072D3A">
              <w:t xml:space="preserve">не менее </w:t>
            </w:r>
            <w:r>
              <w:t>4</w:t>
            </w:r>
            <w:r w:rsidRPr="00072D3A">
              <w:t>0 мм (включительно)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29" w:rsidRPr="00555212" w:rsidRDefault="00BD4929" w:rsidP="00D6622A">
            <w:pPr>
              <w:snapToGrid w:val="0"/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7D08A2" w:rsidRDefault="00BD4929" w:rsidP="00D6622A">
            <w:pPr>
              <w:snapToGrid w:val="0"/>
            </w:pPr>
            <w:r w:rsidRPr="007D08A2">
              <w:t>Допустимая нагрузка на изделие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5C38B7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t>не более 12</w:t>
            </w:r>
            <w:r w:rsidRPr="005C38B7">
              <w:t>0 кг</w:t>
            </w:r>
            <w:r w:rsidRPr="005C38B7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</w:pPr>
            <w:r>
              <w:rPr>
                <w:color w:val="000000"/>
              </w:rPr>
              <w:t>Паспорт и руководство по эксплуатации на русском языке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Default="00BD4929" w:rsidP="00D6622A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ГОСТ 2.601-2013 п.5.1.2.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rPr>
          <w:trHeight w:val="124"/>
        </w:trPr>
        <w:tc>
          <w:tcPr>
            <w:tcW w:w="2450" w:type="dxa"/>
            <w:tcBorders>
              <w:top w:val="single" w:sz="4" w:space="0" w:color="auto"/>
              <w:left w:val="single" w:sz="4" w:space="0" w:color="000000"/>
            </w:tcBorders>
          </w:tcPr>
          <w:p w:rsidR="00BD4929" w:rsidRDefault="00BD4929" w:rsidP="00D6622A">
            <w:pPr>
              <w:tabs>
                <w:tab w:val="left" w:pos="3686"/>
              </w:tabs>
              <w:snapToGrid w:val="0"/>
              <w:jc w:val="both"/>
            </w:pPr>
            <w:r>
              <w:t>Матрас противопролежневый с наполнителем из пеноматериала</w:t>
            </w:r>
          </w:p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4929" w:rsidRDefault="00BD4929" w:rsidP="00D6622A">
            <w:pPr>
              <w:snapToGrid w:val="0"/>
              <w:rPr>
                <w:color w:val="000000"/>
              </w:rPr>
            </w:pPr>
            <w:r w:rsidRPr="00B35EC2">
              <w:rPr>
                <w:color w:val="000000"/>
              </w:rPr>
              <w:t>Противопролежневый матрац полеуретановый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Default="00BD4929" w:rsidP="00D6622A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9B758F">
              <w:rPr>
                <w:rFonts w:eastAsia="Arial Unicode MS"/>
              </w:rPr>
              <w:t>Приказ Министерства труда и социальной защиты РФ от 13.02.2018 №86н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150</w:t>
            </w: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9" w:rsidRPr="00E44E23" w:rsidRDefault="00BD4929" w:rsidP="00D6622A">
            <w:pPr>
              <w:snapToGrid w:val="0"/>
            </w:pPr>
            <w:r w:rsidRPr="00E44E23">
              <w:t>Принцип действия противопролежневого матраца заключается в постоянном массажном воздействии и перераспределении давления с одних частей тела на другие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C7C48">
              <w:rPr>
                <w:rFonts w:eastAsia="Arial Unicode MS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9B758F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rPr>
                <w:rFonts w:eastAsia="Arial Unicode MS"/>
              </w:rPr>
            </w:pPr>
            <w:r w:rsidRPr="00FC7C48">
              <w:t>Наполн</w:t>
            </w:r>
            <w:r>
              <w:t>итель матраца - полиуретан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C7C48">
              <w:rPr>
                <w:rFonts w:eastAsia="Arial Unicode MS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9B758F">
              <w:rPr>
                <w:rFonts w:eastAsia="Arial Unicode MS"/>
              </w:rPr>
              <w:t>Приказ Министерства труда и социальной защиты РФ от 13.02.2018 №86н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>
              <w:t>Съёмный чехол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</w:pPr>
            <w:r w:rsidRPr="00FC7C48"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t>Для возможности гигиенической обработки изделия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>
              <w:t>Допустимая нагрузка на изделие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</w:pPr>
            <w:r>
              <w:t>не более 130 кг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7C296B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 w:rsidRPr="00FC7C48">
              <w:t xml:space="preserve">Длина </w:t>
            </w:r>
            <w:r w:rsidRPr="00FC7C48">
              <w:rPr>
                <w:rFonts w:eastAsia="Arial Unicode MS"/>
              </w:rPr>
              <w:t>матраца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C7C48">
              <w:rPr>
                <w:rFonts w:eastAsia="Arial Unicode MS"/>
              </w:rPr>
              <w:t xml:space="preserve">Не менее 1800 </w:t>
            </w:r>
            <w:r w:rsidRPr="00FC7C48">
              <w:rPr>
                <w:rFonts w:eastAsia="Arial Unicode MS"/>
              </w:rPr>
              <w:lastRenderedPageBreak/>
              <w:t>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7C296B">
              <w:rPr>
                <w:rFonts w:eastAsia="Arial Unicode MS"/>
              </w:rPr>
              <w:lastRenderedPageBreak/>
              <w:t>Методическ</w:t>
            </w:r>
            <w:r w:rsidRPr="007C296B">
              <w:rPr>
                <w:rFonts w:eastAsia="Arial Unicode MS"/>
              </w:rPr>
              <w:lastRenderedPageBreak/>
              <w:t>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>
              <w:t xml:space="preserve">Толщина матраца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40 мм включительно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7C296B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 w:rsidRPr="00FC7C48">
              <w:t xml:space="preserve">Ширина </w:t>
            </w:r>
            <w:r w:rsidRPr="00FC7C48">
              <w:rPr>
                <w:rFonts w:eastAsia="Arial Unicode MS"/>
              </w:rPr>
              <w:t>матраца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C7C48">
              <w:rPr>
                <w:rFonts w:eastAsia="Arial Unicode MS"/>
              </w:rPr>
              <w:t>Не менее 840 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7C296B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  <w:bottom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</w:pPr>
            <w:r w:rsidRPr="00FC7C48">
              <w:t>Паспорт Изделия, либо документ его заменяющий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FC7C48" w:rsidRDefault="00BD4929" w:rsidP="00D6622A">
            <w:pPr>
              <w:snapToGrid w:val="0"/>
              <w:jc w:val="center"/>
            </w:pPr>
            <w:r w:rsidRPr="00FC7C48"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Pr="00CD334C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CD334C">
              <w:rPr>
                <w:rFonts w:eastAsia="Arial Unicode MS"/>
              </w:rPr>
              <w:t xml:space="preserve">ГОСТ Р 51632-2014 </w:t>
            </w: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CD334C">
              <w:rPr>
                <w:rFonts w:eastAsia="Arial Unicode MS"/>
              </w:rPr>
              <w:t>(п. 4.9.3)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D4929" w:rsidRDefault="00BD4929" w:rsidP="00D6622A">
            <w:pPr>
              <w:tabs>
                <w:tab w:val="left" w:pos="3686"/>
              </w:tabs>
              <w:snapToGrid w:val="0"/>
              <w:jc w:val="both"/>
            </w:pPr>
            <w:r>
              <w:t>Матрас противопролежневый с гелевым наполнителем</w:t>
            </w:r>
          </w:p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9" w:rsidRPr="00514E62" w:rsidRDefault="00BD4929" w:rsidP="00D6622A">
            <w:pPr>
              <w:snapToGrid w:val="0"/>
            </w:pPr>
            <w:r>
              <w:t>Противопролежневый матрац гелевый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929" w:rsidRPr="00514E6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9F251A">
              <w:rPr>
                <w:rFonts w:eastAsia="Arial Unicode MS"/>
              </w:rPr>
              <w:t>Приказ Министерства труда и социальной защиты РФ от 13.02.2018 №</w:t>
            </w:r>
            <w:r>
              <w:rPr>
                <w:rFonts w:eastAsia="Arial Unicode MS"/>
              </w:rPr>
              <w:t xml:space="preserve"> </w:t>
            </w:r>
            <w:r w:rsidRPr="009F251A">
              <w:rPr>
                <w:rFonts w:eastAsia="Arial Unicode MS"/>
              </w:rPr>
              <w:t>86н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140</w:t>
            </w:r>
          </w:p>
        </w:tc>
      </w:tr>
      <w:tr w:rsidR="00BD4929" w:rsidRPr="00FC7C48" w:rsidTr="00D6622A">
        <w:trPr>
          <w:trHeight w:val="1455"/>
        </w:trPr>
        <w:tc>
          <w:tcPr>
            <w:tcW w:w="2450" w:type="dxa"/>
            <w:tcBorders>
              <w:left w:val="single" w:sz="4" w:space="0" w:color="000000"/>
              <w:right w:val="single" w:sz="4" w:space="0" w:color="auto"/>
            </w:tcBorders>
          </w:tcPr>
          <w:p w:rsidR="00BD4929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  <w:p w:rsidR="00BD4929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  <w:p w:rsidR="00BD4929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9" w:rsidRPr="00514E62" w:rsidRDefault="00BD4929" w:rsidP="00D6622A">
            <w:pPr>
              <w:snapToGrid w:val="0"/>
            </w:pPr>
            <w:r w:rsidRPr="00514E62">
              <w:t>Наполняемость внутреннего объема материала – гель, распределенный в ячейки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929" w:rsidRPr="00514E6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</w:t>
            </w:r>
            <w:r w:rsidRPr="00514E62">
              <w:rPr>
                <w:rFonts w:eastAsia="Arial Unicode MS"/>
              </w:rPr>
              <w:t>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9F251A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  <w:right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9" w:rsidRPr="00514E62" w:rsidRDefault="00BD4929" w:rsidP="00D6622A">
            <w:pPr>
              <w:snapToGrid w:val="0"/>
              <w:jc w:val="both"/>
              <w:rPr>
                <w:rFonts w:eastAsia="Arial Unicode MS"/>
              </w:rPr>
            </w:pPr>
            <w:r w:rsidRPr="00514E62">
              <w:rPr>
                <w:rFonts w:eastAsia="Arial Unicode MS"/>
              </w:rPr>
              <w:t xml:space="preserve">Изделие комплектуется съемным чехлом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929" w:rsidRPr="00514E6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</w:t>
            </w:r>
            <w:r w:rsidRPr="00514E62">
              <w:rPr>
                <w:rFonts w:eastAsia="Arial Unicode MS"/>
              </w:rPr>
              <w:t>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44225">
              <w:rPr>
                <w:rFonts w:eastAsia="Arial Unicode MS"/>
              </w:rPr>
              <w:t>Для возможности гигиенической обработки изделия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  <w:right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9" w:rsidRPr="00514E62" w:rsidRDefault="00BD4929" w:rsidP="00D6622A">
            <w:pPr>
              <w:snapToGrid w:val="0"/>
            </w:pPr>
            <w:r w:rsidRPr="00514E62">
              <w:t xml:space="preserve">Длина </w:t>
            </w:r>
            <w:r w:rsidRPr="00514E62">
              <w:rPr>
                <w:rFonts w:eastAsia="Arial Unicode MS"/>
              </w:rPr>
              <w:t>матраца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929" w:rsidRPr="00514E6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</w:t>
            </w:r>
            <w:r w:rsidRPr="00514E62">
              <w:rPr>
                <w:rFonts w:eastAsia="Arial Unicode MS"/>
              </w:rPr>
              <w:t>е менее 1800 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44225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  <w:right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9" w:rsidRPr="00514E62" w:rsidRDefault="00BD4929" w:rsidP="00D6622A">
            <w:pPr>
              <w:snapToGrid w:val="0"/>
            </w:pPr>
            <w:r w:rsidRPr="00514E62">
              <w:t xml:space="preserve">Ширина </w:t>
            </w:r>
            <w:r w:rsidRPr="00514E62">
              <w:rPr>
                <w:rFonts w:eastAsia="Arial Unicode MS"/>
              </w:rPr>
              <w:t>матраца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929" w:rsidRPr="00514E6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</w:t>
            </w:r>
            <w:r w:rsidRPr="00514E62">
              <w:rPr>
                <w:rFonts w:eastAsia="Arial Unicode MS"/>
              </w:rPr>
              <w:t>е менее 840 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44225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  <w:right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9" w:rsidRPr="00514E62" w:rsidRDefault="00BD4929" w:rsidP="00D6622A">
            <w:pPr>
              <w:snapToGrid w:val="0"/>
              <w:jc w:val="both"/>
              <w:rPr>
                <w:rFonts w:eastAsia="Arial Unicode MS"/>
              </w:rPr>
            </w:pPr>
            <w:r w:rsidRPr="00514E62">
              <w:rPr>
                <w:rFonts w:eastAsia="Arial Unicode MS"/>
              </w:rPr>
              <w:t>Толщина матраца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929" w:rsidRPr="00514E62" w:rsidRDefault="00BD4929" w:rsidP="00D6622A">
            <w:pPr>
              <w:snapToGrid w:val="0"/>
              <w:jc w:val="center"/>
            </w:pPr>
            <w:r w:rsidRPr="00514E62">
              <w:t>не менее 40 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44225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  <w:right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9" w:rsidRPr="00514E62" w:rsidRDefault="00BD4929" w:rsidP="00D6622A">
            <w:pPr>
              <w:snapToGrid w:val="0"/>
            </w:pPr>
            <w:r w:rsidRPr="00514E62">
              <w:t xml:space="preserve">Максимальная нагрузка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929" w:rsidRPr="00514E6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514E62">
              <w:t>не менее 120 кг</w:t>
            </w:r>
            <w:r w:rsidRPr="00514E62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44225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  <w:right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929" w:rsidRPr="00514E62" w:rsidRDefault="00BD4929" w:rsidP="00D6622A">
            <w:r w:rsidRPr="00514E62">
              <w:t xml:space="preserve">Паспорт и руководство по </w:t>
            </w:r>
            <w:r w:rsidRPr="00514E62">
              <w:lastRenderedPageBreak/>
              <w:t>эксплуатации на русском языке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929" w:rsidRPr="00514E62" w:rsidRDefault="00BD4929" w:rsidP="00D6622A">
            <w:pPr>
              <w:snapToGrid w:val="0"/>
              <w:jc w:val="center"/>
            </w:pPr>
            <w:r>
              <w:lastRenderedPageBreak/>
              <w:t>н</w:t>
            </w:r>
            <w:r w:rsidRPr="00514E62">
              <w:t>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Pr="00F44225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44225">
              <w:rPr>
                <w:rFonts w:eastAsia="Arial Unicode MS"/>
              </w:rPr>
              <w:t xml:space="preserve">ГОСТ Р 51632-2014 </w:t>
            </w:r>
          </w:p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F44225">
              <w:rPr>
                <w:rFonts w:eastAsia="Arial Unicode MS"/>
              </w:rPr>
              <w:lastRenderedPageBreak/>
              <w:t>(п. 4.9.3)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top w:val="single" w:sz="4" w:space="0" w:color="auto"/>
              <w:left w:val="single" w:sz="4" w:space="0" w:color="000000"/>
            </w:tcBorders>
          </w:tcPr>
          <w:p w:rsidR="00BD4929" w:rsidRDefault="00BD4929" w:rsidP="00D6622A">
            <w:pPr>
              <w:tabs>
                <w:tab w:val="left" w:pos="3686"/>
              </w:tabs>
              <w:snapToGrid w:val="0"/>
              <w:jc w:val="both"/>
            </w:pPr>
            <w:r>
              <w:lastRenderedPageBreak/>
              <w:t>Подушка для сидения с наполнителем из пеноматериала</w:t>
            </w:r>
          </w:p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rPr>
                <w:color w:val="000000"/>
              </w:rPr>
            </w:pPr>
            <w:r w:rsidRPr="00C8715F">
              <w:rPr>
                <w:color w:val="000000"/>
              </w:rPr>
              <w:t>Противопролежневая подушка полиуретановая</w:t>
            </w:r>
          </w:p>
          <w:p w:rsidR="00BD4929" w:rsidRDefault="00BD4929" w:rsidP="00D6622A">
            <w:pPr>
              <w:snapToGrid w:val="0"/>
              <w:rPr>
                <w:color w:val="000000"/>
              </w:rPr>
            </w:pPr>
          </w:p>
          <w:p w:rsidR="00BD4929" w:rsidRDefault="00BD4929" w:rsidP="00D6622A">
            <w:pPr>
              <w:snapToGrid w:val="0"/>
              <w:rPr>
                <w:color w:val="000000"/>
              </w:rPr>
            </w:pPr>
          </w:p>
          <w:p w:rsidR="00BD4929" w:rsidRDefault="00BD4929" w:rsidP="00D6622A">
            <w:pPr>
              <w:snapToGrid w:val="0"/>
              <w:rPr>
                <w:color w:val="000000"/>
              </w:rPr>
            </w:pPr>
          </w:p>
          <w:p w:rsidR="00BD4929" w:rsidRDefault="00BD4929" w:rsidP="00D6622A">
            <w:pPr>
              <w:snapToGrid w:val="0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Default="00BD4929" w:rsidP="00D6622A">
            <w:pPr>
              <w:snapToGrid w:val="0"/>
              <w:jc w:val="center"/>
            </w:pPr>
            <w:r>
              <w:t>Наличие</w:t>
            </w:r>
          </w:p>
          <w:p w:rsidR="00BD4929" w:rsidRDefault="00BD4929" w:rsidP="00D6622A">
            <w:pPr>
              <w:snapToGrid w:val="0"/>
              <w:jc w:val="center"/>
            </w:pPr>
          </w:p>
          <w:p w:rsidR="00BD4929" w:rsidRDefault="00BD4929" w:rsidP="00D6622A">
            <w:pPr>
              <w:snapToGrid w:val="0"/>
              <w:jc w:val="center"/>
            </w:pPr>
          </w:p>
          <w:p w:rsidR="00BD4929" w:rsidRDefault="00BD4929" w:rsidP="00D6622A">
            <w:pPr>
              <w:snapToGrid w:val="0"/>
              <w:jc w:val="center"/>
            </w:pPr>
          </w:p>
          <w:p w:rsidR="00BD4929" w:rsidRDefault="00BD4929" w:rsidP="00D6622A">
            <w:pPr>
              <w:snapToGrid w:val="0"/>
              <w:jc w:val="center"/>
            </w:pPr>
          </w:p>
          <w:p w:rsidR="00BD4929" w:rsidRDefault="00BD4929" w:rsidP="00D6622A">
            <w:pPr>
              <w:snapToGrid w:val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C8715F">
              <w:rPr>
                <w:rFonts w:eastAsia="Arial Unicode MS"/>
              </w:rPr>
              <w:t>Приказ Министерства труда и социальной защиты РФ от 13.02.2018 № 86н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29" w:rsidRPr="00A32E8D" w:rsidRDefault="00BD4929" w:rsidP="00D6622A">
            <w:pPr>
              <w:tabs>
                <w:tab w:val="num" w:pos="1069"/>
              </w:tabs>
            </w:pPr>
            <w:r w:rsidRPr="00A32E8D">
              <w:t>Наполняемость внутр</w:t>
            </w:r>
            <w:r>
              <w:t>еннего объема противопрлежневой подуш</w:t>
            </w:r>
            <w:r w:rsidRPr="00A32E8D">
              <w:t>к</w:t>
            </w:r>
            <w:r>
              <w:t>и</w:t>
            </w:r>
            <w:r w:rsidRPr="00A32E8D">
              <w:t>: упругий, вязкоэластичный пенополиуретан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Pr="00475DA5" w:rsidRDefault="00BD4929" w:rsidP="00D6622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75DA5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5C402B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5E0A88" w:rsidRDefault="00BD4929" w:rsidP="00D6622A">
            <w:pPr>
              <w:snapToGrid w:val="0"/>
            </w:pPr>
            <w:r w:rsidRPr="001C2624">
              <w:t>Съемный чехол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Pr="00475DA5" w:rsidRDefault="00BD4929" w:rsidP="00D6622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86267E">
              <w:rPr>
                <w:rFonts w:eastAsia="Arial Unicode MS"/>
              </w:rPr>
              <w:t>Для возможности гигиенической обработки изделия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</w:pPr>
            <w:r w:rsidRPr="00072D3A">
              <w:t xml:space="preserve">Длина </w:t>
            </w:r>
            <w:r>
              <w:rPr>
                <w:rFonts w:eastAsia="Arial Unicode MS"/>
              </w:rPr>
              <w:t>подушки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072D3A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37</w:t>
            </w:r>
            <w:r w:rsidRPr="00072D3A">
              <w:rPr>
                <w:rFonts w:eastAsia="Arial Unicode MS"/>
              </w:rPr>
              <w:t>0 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5C402B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</w:pPr>
            <w:r w:rsidRPr="00072D3A">
              <w:t xml:space="preserve">Ширина </w:t>
            </w:r>
            <w:r>
              <w:rPr>
                <w:rFonts w:eastAsia="Arial Unicode MS"/>
              </w:rPr>
              <w:t>подушки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072D3A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37</w:t>
            </w:r>
            <w:r w:rsidRPr="00072D3A">
              <w:rPr>
                <w:rFonts w:eastAsia="Arial Unicode MS"/>
              </w:rPr>
              <w:t>0 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5C402B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Толщина подушки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072D3A" w:rsidRDefault="00BD4929" w:rsidP="00D6622A">
            <w:pPr>
              <w:snapToGrid w:val="0"/>
              <w:jc w:val="center"/>
            </w:pPr>
            <w:r w:rsidRPr="00072D3A">
              <w:t xml:space="preserve">не менее </w:t>
            </w:r>
            <w:r>
              <w:t>4</w:t>
            </w:r>
            <w:r w:rsidRPr="00072D3A">
              <w:t>0 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5C402B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7D08A2" w:rsidRDefault="00BD4929" w:rsidP="00D6622A">
            <w:pPr>
              <w:snapToGrid w:val="0"/>
            </w:pPr>
            <w:r w:rsidRPr="007D08A2">
              <w:t>Допустимая нагрузка на изделие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5C38B7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t>не более 12</w:t>
            </w:r>
            <w:r w:rsidRPr="005C38B7">
              <w:t>0 кг</w:t>
            </w:r>
            <w:r w:rsidRPr="005C38B7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5C402B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  <w:bottom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D4929" w:rsidRPr="00072D3A" w:rsidRDefault="00BD4929" w:rsidP="00D6622A">
            <w:pPr>
              <w:snapToGrid w:val="0"/>
            </w:pPr>
            <w:r>
              <w:rPr>
                <w:color w:val="000000"/>
              </w:rPr>
              <w:t>Паспорт и руководство по эксплуатации на русском языке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Default="00BD4929" w:rsidP="00D6622A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5C402B">
              <w:rPr>
                <w:rFonts w:eastAsia="Arial Unicode MS"/>
              </w:rPr>
              <w:t>ГОСТ 2.601-2013 п.5.1.2.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top w:val="single" w:sz="4" w:space="0" w:color="auto"/>
              <w:left w:val="single" w:sz="4" w:space="0" w:color="000000"/>
            </w:tcBorders>
          </w:tcPr>
          <w:p w:rsidR="00BD4929" w:rsidRDefault="00BD4929" w:rsidP="00D6622A">
            <w:pPr>
              <w:tabs>
                <w:tab w:val="left" w:pos="3686"/>
              </w:tabs>
              <w:snapToGrid w:val="0"/>
              <w:jc w:val="both"/>
            </w:pPr>
            <w:r>
              <w:t>Подушка для сидения с гелевым наполнителем</w:t>
            </w:r>
          </w:p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B82251" w:rsidRDefault="00BD4929" w:rsidP="00D6622A">
            <w:pPr>
              <w:snapToGrid w:val="0"/>
              <w:rPr>
                <w:color w:val="000000"/>
              </w:rPr>
            </w:pPr>
            <w:r w:rsidRPr="00B82251">
              <w:rPr>
                <w:color w:val="000000"/>
              </w:rPr>
              <w:t>Противо-пролежне</w:t>
            </w:r>
          </w:p>
          <w:p w:rsidR="00BD4929" w:rsidRDefault="00BD4929" w:rsidP="00D6622A">
            <w:pPr>
              <w:snapToGrid w:val="0"/>
              <w:rPr>
                <w:color w:val="000000"/>
              </w:rPr>
            </w:pPr>
            <w:r w:rsidRPr="00B82251">
              <w:rPr>
                <w:color w:val="000000"/>
              </w:rPr>
              <w:t>вая подушка гелевая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Default="00BD4929" w:rsidP="00D6622A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C8715F">
              <w:rPr>
                <w:rFonts w:eastAsia="Arial Unicode MS"/>
              </w:rPr>
              <w:t>Приказ Министерства труда и социальной защиты РФ от 13.02.2018 № 86н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929" w:rsidRPr="005A7A11" w:rsidRDefault="00BD4929" w:rsidP="00D6622A">
            <w:pPr>
              <w:tabs>
                <w:tab w:val="num" w:pos="1069"/>
              </w:tabs>
            </w:pPr>
            <w:r w:rsidRPr="005A7A11">
              <w:t>Поверхность</w:t>
            </w:r>
            <w:r>
              <w:t xml:space="preserve"> </w:t>
            </w:r>
            <w:r>
              <w:lastRenderedPageBreak/>
              <w:t>п</w:t>
            </w:r>
            <w:r w:rsidRPr="005A7A11">
              <w:t>о</w:t>
            </w:r>
            <w:r>
              <w:t xml:space="preserve">душки изготовлена из поролона </w:t>
            </w:r>
            <w:r w:rsidRPr="005A7A11">
              <w:t>в форме ячеек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Pr="00475DA5" w:rsidRDefault="00BD4929" w:rsidP="00D6622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75DA5">
              <w:rPr>
                <w:rFonts w:eastAsia="Arial Unicode MS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9C0949">
              <w:rPr>
                <w:rFonts w:eastAsia="Arial Unicode MS"/>
              </w:rPr>
              <w:t>Методическ</w:t>
            </w:r>
            <w:r w:rsidRPr="009C0949">
              <w:rPr>
                <w:rFonts w:eastAsia="Arial Unicode MS"/>
              </w:rPr>
              <w:lastRenderedPageBreak/>
              <w:t>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9F6D47" w:rsidRDefault="00BD4929" w:rsidP="00D6622A">
            <w:pPr>
              <w:snapToGrid w:val="0"/>
            </w:pPr>
            <w:r w:rsidRPr="009F6D47">
              <w:t>Внутренний слой подушки - гелевый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Наличие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1F5432">
              <w:rPr>
                <w:rFonts w:eastAsia="Arial Unicode MS"/>
              </w:rPr>
              <w:t>Методические рекомендации</w:t>
            </w:r>
            <w:r>
              <w:rPr>
                <w:rFonts w:eastAsia="Arial Unicode MS"/>
              </w:rPr>
              <w:t>, для гигиенической обработки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5E0A88" w:rsidRDefault="00BD4929" w:rsidP="00D6622A">
            <w:pPr>
              <w:snapToGrid w:val="0"/>
            </w:pPr>
            <w:r w:rsidRPr="001C2624">
              <w:t>Водонепроницаемый съемный чехол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29" w:rsidRPr="00475DA5" w:rsidRDefault="00BD4929" w:rsidP="00D6622A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1F5432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</w:pPr>
            <w:r w:rsidRPr="00072D3A">
              <w:t xml:space="preserve">Длина </w:t>
            </w:r>
            <w:r>
              <w:rPr>
                <w:rFonts w:eastAsia="Arial Unicode MS"/>
              </w:rPr>
              <w:t>подушки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072D3A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37</w:t>
            </w:r>
            <w:r w:rsidRPr="00072D3A">
              <w:rPr>
                <w:rFonts w:eastAsia="Arial Unicode MS"/>
              </w:rPr>
              <w:t>0 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1F5432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</w:pPr>
            <w:r w:rsidRPr="00072D3A">
              <w:t xml:space="preserve">Ширина </w:t>
            </w:r>
            <w:r>
              <w:rPr>
                <w:rFonts w:eastAsia="Arial Unicode MS"/>
              </w:rPr>
              <w:t>подушки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072D3A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менее 37</w:t>
            </w:r>
            <w:r w:rsidRPr="00072D3A">
              <w:rPr>
                <w:rFonts w:eastAsia="Arial Unicode MS"/>
              </w:rPr>
              <w:t>0 мм (включительно)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Толщина подушки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072D3A" w:rsidRDefault="00BD4929" w:rsidP="00D6622A">
            <w:pPr>
              <w:snapToGrid w:val="0"/>
              <w:jc w:val="center"/>
            </w:pPr>
            <w:r w:rsidRPr="00072D3A">
              <w:t xml:space="preserve">не менее </w:t>
            </w:r>
            <w:r>
              <w:t>4</w:t>
            </w:r>
            <w:r w:rsidRPr="00072D3A">
              <w:t>0 мм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29" w:rsidRPr="00555212" w:rsidRDefault="00BD4929" w:rsidP="00D6622A">
            <w:pPr>
              <w:snapToGrid w:val="0"/>
              <w:jc w:val="center"/>
            </w:pPr>
            <w:r w:rsidRPr="001F5432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7D08A2" w:rsidRDefault="00BD4929" w:rsidP="00D6622A">
            <w:pPr>
              <w:snapToGrid w:val="0"/>
            </w:pPr>
            <w:r w:rsidRPr="007D08A2">
              <w:t>Допустимая нагрузка на изделие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Pr="005C38B7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t>не более 12</w:t>
            </w:r>
            <w:r w:rsidRPr="005C38B7">
              <w:t>0 кг</w:t>
            </w:r>
            <w:r w:rsidRPr="005C38B7">
              <w:rPr>
                <w:rFonts w:eastAsia="Arial Unicode MS"/>
              </w:rPr>
              <w:t xml:space="preserve"> (включительно)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 w:rsidRPr="006B077D">
              <w:rPr>
                <w:rFonts w:eastAsia="Arial Unicode MS"/>
              </w:rPr>
              <w:t>Методические рекомендации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BD4929" w:rsidRPr="00FC7C48" w:rsidTr="00D6622A">
        <w:tc>
          <w:tcPr>
            <w:tcW w:w="2450" w:type="dxa"/>
            <w:tcBorders>
              <w:left w:val="single" w:sz="4" w:space="0" w:color="000000"/>
              <w:bottom w:val="single" w:sz="4" w:space="0" w:color="auto"/>
            </w:tcBorders>
          </w:tcPr>
          <w:p w:rsidR="00BD4929" w:rsidRPr="00FC7C48" w:rsidRDefault="00BD4929" w:rsidP="00D6622A">
            <w:pPr>
              <w:tabs>
                <w:tab w:val="left" w:pos="3686"/>
              </w:tabs>
              <w:snapToGrid w:val="0"/>
              <w:jc w:val="both"/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929" w:rsidRPr="00072D3A" w:rsidRDefault="00BD4929" w:rsidP="00D6622A">
            <w:pPr>
              <w:snapToGrid w:val="0"/>
            </w:pPr>
            <w:r>
              <w:rPr>
                <w:color w:val="000000"/>
              </w:rPr>
              <w:t>Паспорт и руководство по эксплуатации на русском языке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4929" w:rsidRDefault="00BD4929" w:rsidP="00D6622A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29" w:rsidRPr="00555212" w:rsidRDefault="00BD4929" w:rsidP="00D6622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ГОСТ 2.601-2013 п.5.1.2.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929" w:rsidRPr="00FC7C48" w:rsidRDefault="00BD4929" w:rsidP="00D6622A">
            <w:pPr>
              <w:snapToGrid w:val="0"/>
              <w:jc w:val="center"/>
              <w:rPr>
                <w:rFonts w:eastAsia="Arial Unicode MS"/>
              </w:rPr>
            </w:pPr>
          </w:p>
        </w:tc>
      </w:tr>
    </w:tbl>
    <w:p w:rsidR="00BD4929" w:rsidRDefault="00BD4929" w:rsidP="00BD4929">
      <w:pPr>
        <w:jc w:val="both"/>
      </w:pPr>
    </w:p>
    <w:p w:rsidR="00BD4929" w:rsidRPr="00B252EE" w:rsidRDefault="00BD4929" w:rsidP="00BD4929">
      <w:pPr>
        <w:jc w:val="both"/>
      </w:pPr>
      <w:r w:rsidRPr="00B252EE">
        <w:t>1.</w:t>
      </w:r>
      <w:r>
        <w:t>5</w:t>
      </w:r>
      <w:r w:rsidRPr="00B252EE">
        <w:t>. Гарантийный ремонт Изделия осуществляется Поставщиком в период гарантийного срока.</w:t>
      </w:r>
    </w:p>
    <w:p w:rsidR="00BD4929" w:rsidRPr="00B252EE" w:rsidRDefault="00BD4929" w:rsidP="00BD4929">
      <w:pPr>
        <w:spacing w:line="240" w:lineRule="atLeast"/>
        <w:jc w:val="both"/>
      </w:pPr>
      <w:r w:rsidRPr="00B252EE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</w:t>
      </w:r>
      <w:r w:rsidRPr="00501D84">
        <w:t>не менее 12 месяцев с</w:t>
      </w:r>
      <w:r w:rsidRPr="00B252EE">
        <w:t xml:space="preserve">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BD4929" w:rsidRPr="00B252EE" w:rsidRDefault="00BD4929" w:rsidP="00BD4929">
      <w:pPr>
        <w:spacing w:line="240" w:lineRule="atLeast"/>
        <w:jc w:val="both"/>
      </w:pPr>
      <w:r w:rsidRPr="00B252EE">
        <w:t xml:space="preserve">Прием Получателей по вопросам, касающимся выдачи и гарантийного ремонта Изделий, осуществляется Поставщиком по месту нахождения организованных Поставщиком пунктов </w:t>
      </w:r>
      <w:r w:rsidRPr="00B252EE">
        <w:lastRenderedPageBreak/>
        <w:t>приема (не менее 1 (одного)) на территории Санкт-Петербурга.</w:t>
      </w:r>
    </w:p>
    <w:p w:rsidR="00501D84" w:rsidRDefault="00501D84" w:rsidP="00BD4929">
      <w:pPr>
        <w:jc w:val="both"/>
        <w:rPr>
          <w:b/>
          <w:lang w:val="ru-RU" w:eastAsia="ar-SA"/>
        </w:rPr>
      </w:pPr>
    </w:p>
    <w:p w:rsidR="00BD4929" w:rsidRDefault="00BD4929" w:rsidP="00BD4929">
      <w:pPr>
        <w:jc w:val="both"/>
      </w:pPr>
      <w:bookmarkStart w:id="0" w:name="_GoBack"/>
      <w:bookmarkEnd w:id="0"/>
    </w:p>
    <w:p w:rsidR="00BD4929" w:rsidRDefault="00BD4929" w:rsidP="00BD4929">
      <w:pPr>
        <w:jc w:val="both"/>
      </w:pPr>
    </w:p>
    <w:p w:rsidR="00BD4929" w:rsidRDefault="00BD4929" w:rsidP="00BD4929">
      <w:pPr>
        <w:jc w:val="both"/>
      </w:pPr>
    </w:p>
    <w:p w:rsidR="00BD4929" w:rsidRDefault="00BD4929" w:rsidP="00BD4929">
      <w:pPr>
        <w:jc w:val="both"/>
      </w:pPr>
    </w:p>
    <w:p w:rsidR="00BD4929" w:rsidRDefault="00BD4929" w:rsidP="00BD4929">
      <w:pPr>
        <w:jc w:val="both"/>
      </w:pPr>
    </w:p>
    <w:p w:rsidR="00BD4929" w:rsidRDefault="00BD4929" w:rsidP="00BD4929">
      <w:pPr>
        <w:jc w:val="both"/>
      </w:pPr>
    </w:p>
    <w:p w:rsidR="00F06433" w:rsidRDefault="00F06433">
      <w:pPr>
        <w:pStyle w:val="Standard"/>
      </w:pPr>
    </w:p>
    <w:sectPr w:rsidR="00F0643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56" w:rsidRDefault="007F3A56">
      <w:r>
        <w:separator/>
      </w:r>
    </w:p>
  </w:endnote>
  <w:endnote w:type="continuationSeparator" w:id="0">
    <w:p w:rsidR="007F3A56" w:rsidRDefault="007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56" w:rsidRDefault="007F3A56">
      <w:r>
        <w:rPr>
          <w:color w:val="000000"/>
        </w:rPr>
        <w:separator/>
      </w:r>
    </w:p>
  </w:footnote>
  <w:footnote w:type="continuationSeparator" w:id="0">
    <w:p w:rsidR="007F3A56" w:rsidRDefault="007F3A56">
      <w:r>
        <w:continuationSeparator/>
      </w:r>
    </w:p>
  </w:footnote>
  <w:footnote w:id="1">
    <w:p w:rsidR="00BD4929" w:rsidRPr="004D2FEC" w:rsidRDefault="00BD4929" w:rsidP="00BD4929">
      <w:pPr>
        <w:autoSpaceDE w:val="0"/>
        <w:adjustRightInd w:val="0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BD4929" w:rsidRDefault="00BD4929" w:rsidP="00BD4929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6433"/>
    <w:rsid w:val="00501D84"/>
    <w:rsid w:val="00501FF5"/>
    <w:rsid w:val="00551D1C"/>
    <w:rsid w:val="007F3A56"/>
    <w:rsid w:val="00933131"/>
    <w:rsid w:val="00A14ED7"/>
    <w:rsid w:val="00B579AD"/>
    <w:rsid w:val="00BD4929"/>
    <w:rsid w:val="00F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link w:val="a6"/>
    <w:semiHidden/>
    <w:rsid w:val="00BD492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BD492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semiHidden/>
    <w:rsid w:val="00BD49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note text"/>
    <w:basedOn w:val="a"/>
    <w:link w:val="a6"/>
    <w:semiHidden/>
    <w:rsid w:val="00BD4929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BD492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semiHidden/>
    <w:rsid w:val="00BD4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Малихова</dc:creator>
  <cp:lastModifiedBy>Сергей Южанин</cp:lastModifiedBy>
  <cp:revision>5</cp:revision>
  <dcterms:created xsi:type="dcterms:W3CDTF">2019-03-04T07:58:00Z</dcterms:created>
  <dcterms:modified xsi:type="dcterms:W3CDTF">2019-03-04T12:05:00Z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