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4" w:rsidRDefault="00982A64" w:rsidP="00982A64">
      <w:pPr>
        <w:pStyle w:val="5"/>
      </w:pPr>
      <w:r>
        <w:t>Техническое задание</w:t>
      </w:r>
      <w:bookmarkStart w:id="0" w:name="_GoBack"/>
      <w:bookmarkEnd w:id="0"/>
    </w:p>
    <w:p w:rsidR="00982A64" w:rsidRDefault="00982A64" w:rsidP="00982A64">
      <w:pPr>
        <w:rPr>
          <w:sz w:val="16"/>
          <w:szCs w:val="16"/>
        </w:rPr>
      </w:pPr>
    </w:p>
    <w:tbl>
      <w:tblPr>
        <w:tblW w:w="10655" w:type="dxa"/>
        <w:tblInd w:w="-1073" w:type="dxa"/>
        <w:tblLayout w:type="fixed"/>
        <w:tblLook w:val="0000" w:firstRow="0" w:lastRow="0" w:firstColumn="0" w:lastColumn="0" w:noHBand="0" w:noVBand="0"/>
      </w:tblPr>
      <w:tblGrid>
        <w:gridCol w:w="1310"/>
        <w:gridCol w:w="1310"/>
        <w:gridCol w:w="6595"/>
        <w:gridCol w:w="1440"/>
      </w:tblGrid>
      <w:tr w:rsidR="00982A64" w:rsidTr="00982A6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64" w:rsidRDefault="00982A64" w:rsidP="00DC77AE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982A64" w:rsidTr="00982A6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22-01-06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взрослых, размер «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1000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90 см.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982A64" w:rsidRDefault="00982A64" w:rsidP="00DC77A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982A64" w:rsidRDefault="00982A64" w:rsidP="00DC77AE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982A64" w:rsidRDefault="00982A64" w:rsidP="00DC77AE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982A64" w:rsidRDefault="00982A64" w:rsidP="00DC77A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64" w:rsidRDefault="00982A64" w:rsidP="00DC77A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2 900</w:t>
            </w:r>
          </w:p>
        </w:tc>
      </w:tr>
      <w:tr w:rsidR="00982A64" w:rsidTr="00982A6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22-01-07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взрослых, размер «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1400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90 см.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982A64" w:rsidRDefault="00982A64" w:rsidP="00DC77A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982A64" w:rsidRDefault="00982A64" w:rsidP="00DC77AE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982A64" w:rsidRDefault="00982A64" w:rsidP="00DC77AE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982A64" w:rsidRDefault="00982A64" w:rsidP="00DC77A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64" w:rsidRDefault="00982A64" w:rsidP="00DC77A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11 800</w:t>
            </w:r>
          </w:p>
        </w:tc>
      </w:tr>
      <w:tr w:rsidR="00982A64" w:rsidTr="00982A6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22-01-08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Подгузник для взрослых, размер «М»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1300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120 см.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982A64" w:rsidRDefault="00982A64" w:rsidP="00DC77A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982A64" w:rsidRDefault="00982A64" w:rsidP="00DC77AE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982A64" w:rsidRDefault="00982A64" w:rsidP="00DC77AE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Наличие нейтрализатора запаха.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982A64" w:rsidRDefault="00982A64" w:rsidP="00DC77A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64" w:rsidRDefault="00982A64" w:rsidP="00DC77A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36 000</w:t>
            </w:r>
          </w:p>
        </w:tc>
      </w:tr>
      <w:tr w:rsidR="00982A64" w:rsidTr="00982A6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22-01-09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Подгузник для взрослых, размер «М»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1800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120 см.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982A64" w:rsidRDefault="00982A64" w:rsidP="00DC77A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982A64" w:rsidRDefault="00982A64" w:rsidP="00DC77AE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982A64" w:rsidRDefault="00982A64" w:rsidP="00DC77AE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982A64" w:rsidRDefault="00982A64" w:rsidP="00DC77A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64" w:rsidRDefault="00982A64" w:rsidP="00DC77A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74 000</w:t>
            </w:r>
          </w:p>
        </w:tc>
      </w:tr>
      <w:tr w:rsidR="00982A64" w:rsidTr="00982A6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22-01-10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взрослых, размер «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1450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150 см.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982A64" w:rsidRDefault="00982A64" w:rsidP="00DC77A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982A64" w:rsidRDefault="00982A64" w:rsidP="00DC77AE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982A64" w:rsidRDefault="00982A64" w:rsidP="00DC77AE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982A64" w:rsidRDefault="00982A64" w:rsidP="00DC77A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64" w:rsidRDefault="00982A64" w:rsidP="00DC77A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49 000</w:t>
            </w:r>
          </w:p>
        </w:tc>
      </w:tr>
      <w:tr w:rsidR="00982A64" w:rsidTr="00982A6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22-01-11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взрослых, размер «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2000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150 см.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982A64" w:rsidRDefault="00982A64" w:rsidP="00DC77A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982A64" w:rsidRDefault="00982A64" w:rsidP="00DC77AE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982A64" w:rsidRDefault="00982A64" w:rsidP="00DC77AE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Наличие нейтрализатора запаха.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982A64" w:rsidRDefault="00982A64" w:rsidP="00DC77A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64" w:rsidRDefault="00982A64" w:rsidP="00DC77A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91 000</w:t>
            </w:r>
          </w:p>
        </w:tc>
      </w:tr>
      <w:tr w:rsidR="00982A64" w:rsidTr="00982A6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22-01-12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взрослых, размер «</w:t>
            </w:r>
            <w:r>
              <w:rPr>
                <w:sz w:val="20"/>
                <w:lang w:val="en-US"/>
              </w:rPr>
              <w:t>XL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1450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175 см.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982A64" w:rsidRDefault="00982A64" w:rsidP="00DC77A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982A64" w:rsidRDefault="00982A64" w:rsidP="00DC77AE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982A64" w:rsidRDefault="00982A64" w:rsidP="00DC77AE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982A64" w:rsidRDefault="00982A64" w:rsidP="00DC77A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64" w:rsidRDefault="00982A64" w:rsidP="00DC77A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15 000</w:t>
            </w:r>
          </w:p>
        </w:tc>
      </w:tr>
      <w:tr w:rsidR="00982A64" w:rsidTr="00982A64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22-01-13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взрослых, размер «</w:t>
            </w:r>
            <w:r>
              <w:rPr>
                <w:sz w:val="20"/>
                <w:lang w:val="en-US"/>
              </w:rPr>
              <w:t>XL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влагопоглощение подгузника – не менее 2800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талии – не более 175 см.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сорбция – не более 4,4 г.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82A64" w:rsidRDefault="00982A64" w:rsidP="00DC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982A64" w:rsidRDefault="00982A64" w:rsidP="00DC77A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 xml:space="preserve"> на основе полимера акриловой кислоты.</w:t>
            </w:r>
          </w:p>
          <w:p w:rsidR="00982A64" w:rsidRDefault="00982A64" w:rsidP="00DC77AE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982A64" w:rsidRDefault="00982A64" w:rsidP="00DC77AE">
            <w:pPr>
              <w:snapToGrid w:val="0"/>
              <w:rPr>
                <w:sz w:val="20"/>
                <w:szCs w:val="16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  <w:szCs w:val="16"/>
              </w:rPr>
              <w:t xml:space="preserve"> эластичного пояса.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Наличие нейтрализатора запаха.</w:t>
            </w:r>
          </w:p>
          <w:p w:rsidR="00982A64" w:rsidRDefault="00982A64" w:rsidP="00DC77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982A64" w:rsidRDefault="00982A64" w:rsidP="00DC77A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Наличие водонепроницаемых защитных бортиков с резинками.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64" w:rsidRDefault="00982A64" w:rsidP="00DC77A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17 300</w:t>
            </w:r>
          </w:p>
        </w:tc>
      </w:tr>
      <w:tr w:rsidR="00982A64" w:rsidTr="00982A64">
        <w:trPr>
          <w:cantSplit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A64" w:rsidRDefault="00982A64" w:rsidP="00DC77AE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64" w:rsidRDefault="00982A64" w:rsidP="00DC77AE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297 000</w:t>
            </w:r>
          </w:p>
        </w:tc>
      </w:tr>
    </w:tbl>
    <w:p w:rsidR="00982A64" w:rsidRDefault="00982A64" w:rsidP="00982A64">
      <w:pPr>
        <w:rPr>
          <w:sz w:val="16"/>
          <w:szCs w:val="16"/>
        </w:rPr>
      </w:pPr>
    </w:p>
    <w:p w:rsidR="00982A64" w:rsidRPr="00A15FD3" w:rsidRDefault="00982A64" w:rsidP="00982A64">
      <w:pPr>
        <w:ind w:firstLine="540"/>
        <w:jc w:val="both"/>
        <w:rPr>
          <w:sz w:val="20"/>
          <w:szCs w:val="20"/>
        </w:rPr>
      </w:pPr>
      <w:r w:rsidRPr="00A15FD3">
        <w:rPr>
          <w:sz w:val="20"/>
          <w:szCs w:val="20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982A64" w:rsidRPr="00A15FD3" w:rsidRDefault="00982A64" w:rsidP="00982A64">
      <w:pPr>
        <w:ind w:firstLine="540"/>
        <w:jc w:val="both"/>
        <w:rPr>
          <w:sz w:val="20"/>
          <w:szCs w:val="20"/>
        </w:rPr>
      </w:pPr>
      <w:r w:rsidRPr="00A15FD3">
        <w:rPr>
          <w:sz w:val="20"/>
          <w:szCs w:val="20"/>
        </w:rPr>
        <w:t xml:space="preserve">Подгузники должны соответствовать требованиям стандартов   ГОСТ </w:t>
      </w:r>
      <w:proofErr w:type="gramStart"/>
      <w:r w:rsidRPr="00A15FD3">
        <w:rPr>
          <w:sz w:val="20"/>
          <w:szCs w:val="20"/>
        </w:rPr>
        <w:t>Р</w:t>
      </w:r>
      <w:proofErr w:type="gramEnd"/>
      <w:r w:rsidRPr="00A15FD3">
        <w:rPr>
          <w:sz w:val="20"/>
          <w:szCs w:val="20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A15FD3">
        <w:rPr>
          <w:sz w:val="20"/>
          <w:szCs w:val="20"/>
        </w:rPr>
        <w:t>Р</w:t>
      </w:r>
      <w:proofErr w:type="gramEnd"/>
      <w:r w:rsidRPr="00A15FD3">
        <w:rPr>
          <w:sz w:val="20"/>
          <w:szCs w:val="20"/>
        </w:rPr>
        <w:t xml:space="preserve"> 55082-2012 «Изделия бумажные медицинского назначения. Подгузники для взрослых. Общие технические условия», ГОСТ </w:t>
      </w:r>
      <w:proofErr w:type="gramStart"/>
      <w:r w:rsidRPr="00A15FD3">
        <w:rPr>
          <w:sz w:val="20"/>
          <w:szCs w:val="20"/>
        </w:rPr>
        <w:t>Р</w:t>
      </w:r>
      <w:proofErr w:type="gramEnd"/>
      <w:r w:rsidRPr="00A15FD3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A15FD3">
        <w:rPr>
          <w:sz w:val="20"/>
          <w:szCs w:val="20"/>
        </w:rPr>
        <w:t>Общие технические требования и методы испытаний», 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  <w:proofErr w:type="gramEnd"/>
    </w:p>
    <w:p w:rsidR="00982A64" w:rsidRPr="00A15FD3" w:rsidRDefault="00982A64" w:rsidP="00982A64">
      <w:pPr>
        <w:ind w:firstLine="540"/>
        <w:jc w:val="both"/>
        <w:rPr>
          <w:sz w:val="20"/>
          <w:szCs w:val="20"/>
        </w:rPr>
      </w:pPr>
      <w:r w:rsidRPr="00A15FD3">
        <w:rPr>
          <w:sz w:val="20"/>
          <w:szCs w:val="20"/>
        </w:rPr>
        <w:lastRenderedPageBreak/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982A64" w:rsidRPr="00A15FD3" w:rsidRDefault="00982A64" w:rsidP="00982A64">
      <w:pPr>
        <w:ind w:firstLine="540"/>
        <w:jc w:val="both"/>
        <w:rPr>
          <w:sz w:val="20"/>
          <w:szCs w:val="20"/>
        </w:rPr>
      </w:pPr>
      <w:proofErr w:type="gramStart"/>
      <w:r w:rsidRPr="00A15FD3">
        <w:rPr>
          <w:sz w:val="20"/>
          <w:szCs w:val="20"/>
        </w:rPr>
        <w:t>Материалы, применяемые для изготовления подгузников должны быть разрешены</w:t>
      </w:r>
      <w:proofErr w:type="gramEnd"/>
      <w:r w:rsidRPr="00A15FD3">
        <w:rPr>
          <w:sz w:val="20"/>
          <w:szCs w:val="20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982A64" w:rsidRPr="00A15FD3" w:rsidRDefault="00982A64" w:rsidP="00982A64">
      <w:pPr>
        <w:ind w:firstLine="540"/>
        <w:jc w:val="both"/>
        <w:rPr>
          <w:sz w:val="20"/>
          <w:szCs w:val="20"/>
        </w:rPr>
      </w:pPr>
      <w:r w:rsidRPr="00A15FD3">
        <w:rPr>
          <w:sz w:val="20"/>
          <w:szCs w:val="20"/>
        </w:rPr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982A64" w:rsidRPr="00A15FD3" w:rsidRDefault="00982A64" w:rsidP="00982A64">
      <w:pPr>
        <w:ind w:firstLine="540"/>
        <w:jc w:val="both"/>
        <w:rPr>
          <w:sz w:val="20"/>
          <w:szCs w:val="20"/>
        </w:rPr>
      </w:pPr>
      <w:r w:rsidRPr="00A15FD3">
        <w:rPr>
          <w:sz w:val="20"/>
          <w:szCs w:val="20"/>
        </w:rPr>
        <w:t>Не позднее чем через 30 (тридцать) дней после заключения контракта Поставщик должен поставить всю партию подгузников на территорию г. Красноярска, предназначенную к поставке инвалидам, для осуществления Заказчиком ее приемки - проверки качества и соответствия техническим характеристикам, указанным в техническом задании.</w:t>
      </w:r>
    </w:p>
    <w:p w:rsidR="00982A64" w:rsidRPr="00A15FD3" w:rsidRDefault="00982A64" w:rsidP="00982A64">
      <w:pPr>
        <w:ind w:firstLine="540"/>
        <w:jc w:val="both"/>
        <w:rPr>
          <w:sz w:val="20"/>
          <w:szCs w:val="20"/>
        </w:rPr>
      </w:pPr>
      <w:r w:rsidRPr="00A15FD3">
        <w:rPr>
          <w:sz w:val="20"/>
          <w:szCs w:val="20"/>
        </w:rPr>
        <w:t>Одновременно с поставкой партии подгузников Поставщиком должны быть предоставлены:</w:t>
      </w:r>
    </w:p>
    <w:p w:rsidR="00982A64" w:rsidRPr="00A15FD3" w:rsidRDefault="00982A64" w:rsidP="00982A64">
      <w:pPr>
        <w:ind w:firstLine="180"/>
        <w:rPr>
          <w:sz w:val="20"/>
          <w:szCs w:val="20"/>
        </w:rPr>
      </w:pPr>
      <w:proofErr w:type="gramStart"/>
      <w:r w:rsidRPr="00A15FD3">
        <w:rPr>
          <w:sz w:val="20"/>
          <w:szCs w:val="20"/>
        </w:rPr>
        <w:t>- утвержденные образцы-эталонов по ГОСТ 15.009. на каждый вид и партию подгузников (при необходимости);</w:t>
      </w:r>
      <w:proofErr w:type="gramEnd"/>
    </w:p>
    <w:p w:rsidR="00982A64" w:rsidRPr="00A15FD3" w:rsidRDefault="00982A64" w:rsidP="00982A64">
      <w:pPr>
        <w:ind w:firstLine="180"/>
        <w:jc w:val="both"/>
        <w:rPr>
          <w:sz w:val="20"/>
          <w:szCs w:val="20"/>
        </w:rPr>
      </w:pPr>
      <w:r w:rsidRPr="00A15FD3">
        <w:rPr>
          <w:sz w:val="20"/>
          <w:szCs w:val="20"/>
        </w:rPr>
        <w:t>- технические условия на выпускаемую продукцию (при наличии);</w:t>
      </w:r>
    </w:p>
    <w:p w:rsidR="00982A64" w:rsidRPr="00A15FD3" w:rsidRDefault="00982A64" w:rsidP="00982A64">
      <w:pPr>
        <w:pStyle w:val="a5"/>
        <w:spacing w:after="0"/>
        <w:ind w:firstLine="180"/>
        <w:rPr>
          <w:sz w:val="20"/>
          <w:szCs w:val="20"/>
        </w:rPr>
      </w:pPr>
      <w:r w:rsidRPr="00A15FD3">
        <w:rPr>
          <w:sz w:val="20"/>
          <w:szCs w:val="20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982A64" w:rsidRPr="00A15FD3" w:rsidRDefault="00982A64" w:rsidP="00982A64">
      <w:pPr>
        <w:tabs>
          <w:tab w:val="left" w:pos="708"/>
        </w:tabs>
        <w:ind w:firstLine="567"/>
        <w:rPr>
          <w:sz w:val="20"/>
          <w:szCs w:val="20"/>
        </w:rPr>
      </w:pPr>
      <w:r w:rsidRPr="00A15FD3">
        <w:rPr>
          <w:sz w:val="20"/>
          <w:szCs w:val="20"/>
        </w:rPr>
        <w:t>Маркировка на упаковке подгузников должна содержать:</w:t>
      </w:r>
    </w:p>
    <w:p w:rsidR="00982A64" w:rsidRPr="00A15FD3" w:rsidRDefault="00982A64" w:rsidP="00982A64">
      <w:pPr>
        <w:tabs>
          <w:tab w:val="left" w:pos="708"/>
        </w:tabs>
        <w:ind w:firstLine="720"/>
        <w:rPr>
          <w:sz w:val="20"/>
          <w:szCs w:val="20"/>
        </w:rPr>
      </w:pPr>
      <w:r w:rsidRPr="00A15FD3">
        <w:rPr>
          <w:sz w:val="20"/>
          <w:szCs w:val="20"/>
        </w:rPr>
        <w:t>- наименование страны-изготовителя;</w:t>
      </w:r>
    </w:p>
    <w:p w:rsidR="00982A64" w:rsidRDefault="00982A64" w:rsidP="00982A64">
      <w:pPr>
        <w:tabs>
          <w:tab w:val="left" w:pos="708"/>
        </w:tabs>
        <w:ind w:firstLine="720"/>
        <w:rPr>
          <w:sz w:val="20"/>
          <w:szCs w:val="26"/>
        </w:rPr>
      </w:pPr>
      <w:r w:rsidRPr="00A15FD3">
        <w:rPr>
          <w:sz w:val="20"/>
          <w:szCs w:val="20"/>
        </w:rPr>
        <w:t>- наименование и местонахождение изготовителя (продавца</w:t>
      </w:r>
      <w:r>
        <w:rPr>
          <w:sz w:val="20"/>
          <w:szCs w:val="26"/>
        </w:rPr>
        <w:t>, поставщика), товарный знак (при наличии);</w:t>
      </w:r>
    </w:p>
    <w:p w:rsidR="00982A64" w:rsidRDefault="00982A64" w:rsidP="00982A6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982A64" w:rsidRDefault="00982A64" w:rsidP="00982A6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правила по применению подгузника (в виде рисунков или текста);</w:t>
      </w:r>
    </w:p>
    <w:p w:rsidR="00982A64" w:rsidRDefault="00982A64" w:rsidP="00982A64">
      <w:pPr>
        <w:tabs>
          <w:tab w:val="left" w:pos="708"/>
        </w:tabs>
        <w:ind w:firstLine="720"/>
        <w:jc w:val="both"/>
        <w:rPr>
          <w:sz w:val="20"/>
          <w:szCs w:val="26"/>
        </w:rPr>
      </w:pPr>
      <w:r>
        <w:rPr>
          <w:sz w:val="20"/>
          <w:szCs w:val="26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982A64" w:rsidRDefault="00982A64" w:rsidP="00982A6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 xml:space="preserve">- отличительные характеристики подгузника в соответствии с </w:t>
      </w:r>
      <w:proofErr w:type="gramStart"/>
      <w:r>
        <w:rPr>
          <w:sz w:val="20"/>
          <w:szCs w:val="26"/>
        </w:rPr>
        <w:t>техническим исполнением</w:t>
      </w:r>
      <w:proofErr w:type="gramEnd"/>
      <w:r>
        <w:rPr>
          <w:sz w:val="20"/>
          <w:szCs w:val="26"/>
        </w:rPr>
        <w:t xml:space="preserve"> (в виде рисунков и/или текста);</w:t>
      </w:r>
    </w:p>
    <w:p w:rsidR="00982A64" w:rsidRDefault="00982A64" w:rsidP="00982A6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номер артикула (при наличии);</w:t>
      </w:r>
    </w:p>
    <w:p w:rsidR="00982A64" w:rsidRDefault="00982A64" w:rsidP="00982A6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количество подгузников в упаковке;</w:t>
      </w:r>
    </w:p>
    <w:p w:rsidR="00982A64" w:rsidRDefault="00982A64" w:rsidP="00982A6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дату (месяц, год) изготовления;</w:t>
      </w:r>
    </w:p>
    <w:p w:rsidR="00982A64" w:rsidRDefault="00982A64" w:rsidP="00982A64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срок годности, устанавливаемый изготовителем;</w:t>
      </w:r>
    </w:p>
    <w:p w:rsidR="00982A64" w:rsidRDefault="00982A64" w:rsidP="00982A64">
      <w:pPr>
        <w:tabs>
          <w:tab w:val="left" w:pos="708"/>
        </w:tabs>
        <w:ind w:left="720"/>
        <w:rPr>
          <w:sz w:val="20"/>
          <w:szCs w:val="26"/>
        </w:rPr>
      </w:pPr>
      <w:r>
        <w:rPr>
          <w:sz w:val="20"/>
          <w:szCs w:val="26"/>
        </w:rPr>
        <w:t>- штриховой код (при наличии);</w:t>
      </w:r>
    </w:p>
    <w:p w:rsidR="00982A64" w:rsidRDefault="00982A64" w:rsidP="00982A6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Поставщик предоставляет Товар непосредственно Получателю по домашнему адресу в течение 45 календарных дней </w:t>
      </w:r>
      <w:proofErr w:type="gramStart"/>
      <w:r>
        <w:rPr>
          <w:color w:val="000000"/>
          <w:sz w:val="20"/>
          <w:szCs w:val="20"/>
        </w:rPr>
        <w:t>с даты получения</w:t>
      </w:r>
      <w:proofErr w:type="gramEnd"/>
      <w:r>
        <w:rPr>
          <w:color w:val="000000"/>
          <w:sz w:val="20"/>
          <w:szCs w:val="20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color w:val="000000"/>
          <w:sz w:val="20"/>
          <w:szCs w:val="20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20"/>
        </w:rPr>
        <w:t xml:space="preserve"> по мере поступления заявок от инвалидов. Срок поставки Товара по последнему переданному реестру инвалидов – не позднее 15 декабря 2019 года</w:t>
      </w:r>
    </w:p>
    <w:p w:rsidR="00982A64" w:rsidRDefault="00982A64" w:rsidP="00982A64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20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16"/>
        </w:rPr>
        <w:t>, но не позднее «20» декабря</w:t>
      </w:r>
      <w:r>
        <w:rPr>
          <w:sz w:val="20"/>
          <w:szCs w:val="16"/>
        </w:rPr>
        <w:t xml:space="preserve"> 2019 года.</w:t>
      </w:r>
      <w:r>
        <w:rPr>
          <w:sz w:val="20"/>
        </w:rPr>
        <w:t xml:space="preserve"> </w:t>
      </w:r>
    </w:p>
    <w:p w:rsidR="00BC1357" w:rsidRDefault="00982A64" w:rsidP="00982A64">
      <w:r>
        <w:rPr>
          <w:sz w:val="20"/>
          <w:szCs w:val="28"/>
        </w:rPr>
        <w:t>Срок годности Товара на момент его выдачи Получателю должен составлять не менее 6 месяцев.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64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6967"/>
    <w:rsid w:val="000778C9"/>
    <w:rsid w:val="000854C9"/>
    <w:rsid w:val="0008636B"/>
    <w:rsid w:val="000961F7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65D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1E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14905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0476A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0DD9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3CC7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2A64"/>
    <w:rsid w:val="00983F90"/>
    <w:rsid w:val="00984845"/>
    <w:rsid w:val="00984F52"/>
    <w:rsid w:val="009859BF"/>
    <w:rsid w:val="00990ABA"/>
    <w:rsid w:val="00992316"/>
    <w:rsid w:val="009941AD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16395"/>
    <w:rsid w:val="00A2073E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678DA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062C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5F75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0DD9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D6A5F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2A64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2A64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982A64"/>
  </w:style>
  <w:style w:type="paragraph" w:customStyle="1" w:styleId="a4">
    <w:name w:val=" Знак Знак Знак Знак Знак Знак"/>
    <w:basedOn w:val="a"/>
    <w:rsid w:val="00982A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982A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82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2A64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2A64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982A64"/>
  </w:style>
  <w:style w:type="paragraph" w:customStyle="1" w:styleId="a4">
    <w:name w:val=" Знак Знак Знак Знак Знак Знак"/>
    <w:basedOn w:val="a"/>
    <w:rsid w:val="00982A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982A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82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2019-01-18T03:57:00Z</dcterms:created>
  <dcterms:modified xsi:type="dcterms:W3CDTF">2019-01-18T03:58:00Z</dcterms:modified>
</cp:coreProperties>
</file>