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67" w:rsidRDefault="00FE3419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F25867" w:rsidRDefault="00FE3419">
      <w:pPr>
        <w:widowControl/>
        <w:suppressAutoHyphens w:val="0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оказание услуг в 2019 году по организации санаторно-курортного лечения граждан - получателей государственной социальной помощи, в том числе детей-инвалидов, по </w:t>
      </w:r>
      <w:r>
        <w:rPr>
          <w:rFonts w:ascii="Times New Roman" w:hAnsi="Times New Roman"/>
          <w:sz w:val="28"/>
          <w:szCs w:val="28"/>
        </w:rPr>
        <w:t>Классу XIX МКБ-10 «Травмы, отравления и некоторые другие последствия воздействия внешних причин» (спинальные больные) и сопровождающих их лиц, в организации, оказывающей санаторно-курортные услуги в специализированных отделениях.</w:t>
      </w:r>
    </w:p>
    <w:p w:rsidR="00F25867" w:rsidRDefault="00F25867">
      <w:pPr>
        <w:pStyle w:val="Standard"/>
        <w:tabs>
          <w:tab w:val="left" w:pos="0"/>
        </w:tabs>
        <w:ind w:firstLine="6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867" w:rsidRDefault="00FE3419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Общие условия открытого аукциона в электронной форме</w:t>
      </w:r>
    </w:p>
    <w:p w:rsidR="00F25867" w:rsidRDefault="00FE3419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1.Наименование Заказчика: Государственное учреждение - Хабаровское региональное </w:t>
      </w:r>
      <w:r>
        <w:rPr>
          <w:rFonts w:ascii="Times New Roman" w:hAnsi="Times New Roman"/>
          <w:sz w:val="28"/>
          <w:szCs w:val="28"/>
        </w:rPr>
        <w:t>отделение Фонда социального страхования Российской Федерации.</w:t>
      </w: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2.Адрес: 680021, г. Хабаровск, ул. Ленинградская, д. 44.</w:t>
      </w: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3.Телефон: (4212) 91-12-30</w:t>
      </w:r>
    </w:p>
    <w:p w:rsidR="00F25867" w:rsidRDefault="00FE3419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Заказчик проводит открытый аукцион в электронной форме с целью заклю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чения государственного контракта </w:t>
      </w:r>
      <w:r>
        <w:rPr>
          <w:rFonts w:ascii="Times New Roman" w:hAnsi="Times New Roman"/>
          <w:sz w:val="28"/>
          <w:szCs w:val="28"/>
        </w:rPr>
        <w:t>на оказание услуг в 2019 году по организации санаторно-курортного лечения граждан - получателей государственной социальной помощи, в том числе детей-инвалидов, по Классу XIX МКБ-10 «Травмы, отравления и некоторые другие пос</w:t>
      </w:r>
      <w:r>
        <w:rPr>
          <w:rFonts w:ascii="Times New Roman" w:hAnsi="Times New Roman"/>
          <w:sz w:val="28"/>
          <w:szCs w:val="28"/>
        </w:rPr>
        <w:t>ледствия воздействия внешних причин» (спинальные больные) и сопровождающих их лиц, в организации, оказывающей санаторно-курортные услуги в специализированных отделениях.</w:t>
      </w:r>
    </w:p>
    <w:p w:rsidR="00F25867" w:rsidRDefault="00FE3419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F25867" w:rsidRDefault="00FE3419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Количество койко-дней для спинальных больных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их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сопровождающих составляет 672 (шестьсот семьдесят два) койко-дня, в том числе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:</w:t>
      </w:r>
    </w:p>
    <w:p w:rsidR="00F25867" w:rsidRDefault="00FE3419">
      <w:pPr>
        <w:pStyle w:val="Standard"/>
        <w:ind w:left="709"/>
        <w:jc w:val="both"/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- 360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(триста шестьдесят) койко-дней для инвалидов, продолжительность лечения 24 дня;</w:t>
      </w:r>
    </w:p>
    <w:p w:rsidR="00F25867" w:rsidRDefault="00FE3419">
      <w:pPr>
        <w:pStyle w:val="Standard"/>
        <w:ind w:left="709"/>
        <w:jc w:val="both"/>
      </w:pPr>
      <w:r>
        <w:rPr>
          <w:rFonts w:ascii="Times New Roman" w:hAnsi="Times New Roman"/>
          <w:bCs/>
          <w:sz w:val="28"/>
          <w:szCs w:val="28"/>
        </w:rPr>
        <w:t>- 312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(триста двенадцать) койко-дней для </w:t>
      </w:r>
      <w:r>
        <w:rPr>
          <w:rFonts w:ascii="Times New Roman" w:hAnsi="Times New Roman"/>
          <w:bCs/>
          <w:sz w:val="28"/>
          <w:szCs w:val="28"/>
        </w:rPr>
        <w:t>сопровождающих лиц, продолжительность лечения 24 д</w:t>
      </w:r>
      <w:r>
        <w:rPr>
          <w:rFonts w:ascii="Times New Roman" w:hAnsi="Times New Roman"/>
          <w:bCs/>
          <w:sz w:val="28"/>
          <w:szCs w:val="28"/>
        </w:rPr>
        <w:t>ня.</w:t>
      </w:r>
    </w:p>
    <w:p w:rsidR="00F25867" w:rsidRDefault="00F25867">
      <w:pPr>
        <w:pStyle w:val="Standard"/>
        <w:ind w:left="709"/>
        <w:jc w:val="both"/>
      </w:pPr>
    </w:p>
    <w:tbl>
      <w:tblPr>
        <w:tblW w:w="10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5"/>
        <w:gridCol w:w="2707"/>
      </w:tblGrid>
      <w:tr w:rsidR="00F25867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5867" w:rsidRDefault="00FE3419">
            <w:pPr>
              <w:pStyle w:val="Standard"/>
              <w:snapToGrid w:val="0"/>
              <w:ind w:left="65" w:right="5" w:firstLine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5867" w:rsidRDefault="00FE3419">
            <w:pPr>
              <w:pStyle w:val="Standard"/>
              <w:tabs>
                <w:tab w:val="left" w:pos="5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услуг на одного пациента (на курс лечения), не менее</w:t>
            </w:r>
          </w:p>
        </w:tc>
      </w:tr>
    </w:tbl>
    <w:p w:rsidR="00F25867" w:rsidRDefault="00F25867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5"/>
        <w:gridCol w:w="2715"/>
      </w:tblGrid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 анамнеза и жалоб общетерапевтический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Визуальный осмотр общетерапевтический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Пальпация   общетерапевтическая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Аускультация общетерапевтическая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Перкуссия общетерапевтическая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Термометрия общая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роста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массы тела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Измерения частоты дыхания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частоты сердцебиения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Исследование пульса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артериального давления на периферических артериях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(осмотр, консультация) врача-невролога первичный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врача-невролога повторный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Регистрация электрокардиограммы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Расшифровка, описание и   интерпретация электрокардиографических   данных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 (клинический) анализ крови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мочи общий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Электромиография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Электроэнцефалография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лечебной грязью при болезнях центральной  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Грязевые ванны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 лекарственные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 вихревые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 газовые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 радоновые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Ванны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минеральные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 суховоздушные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 местные (2-4-х-камерные)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Подводный душ-массаж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  интерференционными токами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синусоидальными модулированными токами   (СМТ)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Миоэлектростимуляция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Воздействие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диадинамическими токами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Электросон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Электрофорез лекарственных  средств при болезнях    центральной нервной системы и головного мозга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   электромагнитным излучением дециметрового диапазона   (ДМВ)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Воздействие электромагнитным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излучением сантиметрового диапазона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(СМВ-терапия)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электрическим  полем УВЧ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ультразвуковое при болезнях центральной  нервной системы и головного мозга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коротким ультрафиолетовым излучением (КУФ)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низкоинтенсивным лазерным  излучением при заболеваниях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центральной нервной системы и головного мозга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магнитными  полями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Дарсонвализация местная при болезнях центральной  нервной системы и головного мозга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Рефлексотерапия при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заболеваниях центральной  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Мануальная терапия при заболеваниях центральной 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Оксигеновоздействие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Воздействие парафином  (озокеритом) при болезнях  центральной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Лечебная физкультура при заболеваниях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центральной 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Массаж при заболеваниях  центральной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Механотерапия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65" w:right="5"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Психотерапия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80" w:right="5" w:hanging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Терренкур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pStyle w:val="ConsPlusNormal"/>
              <w:snapToGrid w:val="0"/>
              <w:ind w:left="80" w:right="5" w:hanging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 диетической  терапии при заболеваниях  центральной нервной системы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Standard"/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</w:tr>
      <w:tr w:rsidR="00F258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5867" w:rsidRDefault="00FE3419">
            <w:pPr>
              <w:pStyle w:val="ConsPlusNormal"/>
              <w:snapToGrid w:val="0"/>
              <w:ind w:left="80" w:right="5" w:hanging="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5867" w:rsidRDefault="00FE3419">
            <w:pPr>
              <w:pStyle w:val="ConsPlusNormal"/>
              <w:snapToGrid w:val="0"/>
              <w:ind w:left="110" w:right="5" w:hanging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показаниям</w:t>
            </w:r>
          </w:p>
        </w:tc>
      </w:tr>
    </w:tbl>
    <w:p w:rsidR="00F25867" w:rsidRDefault="00F25867">
      <w:pPr>
        <w:pStyle w:val="Standard"/>
        <w:rPr>
          <w:rFonts w:ascii="Times New Roman" w:hAnsi="Times New Roman"/>
          <w:sz w:val="28"/>
          <w:szCs w:val="28"/>
        </w:rPr>
      </w:pP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определяется лечащим врачом в зависимости от состояния </w:t>
      </w:r>
      <w:r>
        <w:rPr>
          <w:rFonts w:ascii="Times New Roman" w:hAnsi="Times New Roman"/>
          <w:sz w:val="28"/>
          <w:szCs w:val="28"/>
        </w:rPr>
        <w:lastRenderedPageBreak/>
        <w:t>здоровья получателя путевки.</w:t>
      </w: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оказания услуг является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от 17.07.1999      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</w:t>
      </w:r>
      <w:r>
        <w:rPr>
          <w:rFonts w:ascii="Times New Roman" w:hAnsi="Times New Roman"/>
          <w:color w:val="000000"/>
          <w:sz w:val="28"/>
          <w:szCs w:val="28"/>
        </w:rPr>
        <w:t>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F25867" w:rsidRDefault="00FE3419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>Для оказания</w:t>
      </w:r>
      <w:r>
        <w:rPr>
          <w:rFonts w:ascii="Times New Roman" w:hAnsi="Times New Roman"/>
          <w:sz w:val="28"/>
          <w:szCs w:val="28"/>
        </w:rPr>
        <w:t xml:space="preserve"> услуг по санаторно-курортному лечению граждан, получателей набора социальных услуг в том числе детей-инвалидов и сопровождающих лиц с использованием местных климатических, природных и преформированных факторов по профилю – «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Травмы, отравления и некоторые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другие последствия воздействия внешних причин</w:t>
      </w:r>
      <w:r>
        <w:rPr>
          <w:rFonts w:ascii="Times New Roman" w:hAnsi="Times New Roman"/>
          <w:sz w:val="28"/>
          <w:szCs w:val="28"/>
        </w:rPr>
        <w:t xml:space="preserve">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«педиатрии», «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неврологии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травматологии и орто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педии» </w:t>
      </w:r>
      <w:r>
        <w:rPr>
          <w:rFonts w:ascii="Times New Roman" w:hAnsi="Times New Roman"/>
          <w:color w:val="000000"/>
          <w:sz w:val="28"/>
          <w:szCs w:val="28"/>
        </w:rPr>
        <w:t xml:space="preserve">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</w:t>
      </w:r>
      <w:r>
        <w:rPr>
          <w:rFonts w:ascii="Times New Roman" w:hAnsi="Times New Roman"/>
          <w:color w:val="000000"/>
          <w:sz w:val="28"/>
          <w:szCs w:val="28"/>
        </w:rPr>
        <w:t>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</w:t>
      </w:r>
      <w:r>
        <w:rPr>
          <w:rFonts w:ascii="Times New Roman" w:hAnsi="Times New Roman"/>
          <w:color w:val="000000"/>
          <w:sz w:val="28"/>
          <w:szCs w:val="28"/>
        </w:rPr>
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</w:t>
      </w:r>
      <w:r>
        <w:rPr>
          <w:rFonts w:ascii="Times New Roman" w:hAnsi="Times New Roman"/>
          <w:color w:val="000000"/>
          <w:sz w:val="28"/>
          <w:szCs w:val="28"/>
        </w:rPr>
        <w:t>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</w:t>
      </w:r>
      <w:r>
        <w:rPr>
          <w:rFonts w:ascii="Times New Roman" w:hAnsi="Times New Roman"/>
          <w:color w:val="000000"/>
          <w:sz w:val="28"/>
          <w:szCs w:val="28"/>
        </w:rPr>
        <w:t>.2012 года № 291 (в ред. от 17.01.2012 года).</w:t>
      </w:r>
    </w:p>
    <w:p w:rsidR="00F25867" w:rsidRDefault="00FE3419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</w:t>
      </w:r>
      <w:r>
        <w:rPr>
          <w:rFonts w:ascii="Times New Roman" w:hAnsi="Times New Roman"/>
          <w:sz w:val="28"/>
          <w:szCs w:val="28"/>
        </w:rPr>
        <w:t>ико-экономическими стандартами санаторно-курортного лечения по нозологическим формам.</w:t>
      </w:r>
    </w:p>
    <w:p w:rsidR="00F25867" w:rsidRDefault="00FE3419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Министер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F25867" w:rsidRDefault="00FE3419">
      <w:pPr>
        <w:pStyle w:val="Standard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</w:t>
      </w:r>
      <w:r>
        <w:rPr>
          <w:rFonts w:ascii="Times New Roman" w:hAnsi="Times New Roman"/>
          <w:bCs/>
          <w:sz w:val="28"/>
          <w:szCs w:val="28"/>
        </w:rPr>
        <w:t xml:space="preserve">в специализированных отделениях санатория для </w:t>
      </w:r>
      <w:r>
        <w:rPr>
          <w:rFonts w:ascii="Times New Roman" w:hAnsi="Times New Roman"/>
          <w:bCs/>
          <w:sz w:val="28"/>
          <w:szCs w:val="28"/>
        </w:rPr>
        <w:lastRenderedPageBreak/>
        <w:t>спинальных больных</w:t>
      </w:r>
      <w:r>
        <w:rPr>
          <w:rFonts w:ascii="Times New Roman" w:hAnsi="Times New Roman"/>
          <w:sz w:val="28"/>
          <w:szCs w:val="28"/>
        </w:rPr>
        <w:t xml:space="preserve"> с надлежащим качеством и в объемах, опр</w:t>
      </w:r>
      <w:r>
        <w:rPr>
          <w:rFonts w:ascii="Times New Roman" w:hAnsi="Times New Roman"/>
          <w:sz w:val="28"/>
          <w:szCs w:val="28"/>
        </w:rPr>
        <w:t xml:space="preserve">еделенных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стандартами санаторно-курортной помощи больным с заболеваниями и последствиями травм спинного и головного мозга», утвержденными </w:t>
      </w:r>
      <w:r>
        <w:rPr>
          <w:rFonts w:ascii="Times New Roman" w:hAnsi="Times New Roman"/>
          <w:sz w:val="28"/>
          <w:szCs w:val="28"/>
        </w:rPr>
        <w:t xml:space="preserve">приказами Министерства здравоохранения и социального развития Российской Федерации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23.11.2004 № 274 «Об утверждени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стандарта санаторно-курортной помощи больным с заболеваниями и последствиями травм спинного и головного мозга»</w:t>
      </w:r>
      <w:r>
        <w:rPr>
          <w:rFonts w:ascii="Times New Roman" w:hAnsi="Times New Roman"/>
          <w:sz w:val="28"/>
          <w:szCs w:val="28"/>
        </w:rPr>
        <w:t>.</w:t>
      </w:r>
    </w:p>
    <w:p w:rsidR="00F25867" w:rsidRDefault="00FE3419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граждан – получателей набора социальных услуг должно </w:t>
      </w:r>
      <w:r>
        <w:rPr>
          <w:rFonts w:ascii="Times New Roman" w:hAnsi="Times New Roman"/>
          <w:sz w:val="28"/>
          <w:szCs w:val="28"/>
        </w:rPr>
        <w:t>осуществляться по установленным формам, утвержденным Минздравсоцразвитием России.</w:t>
      </w:r>
    </w:p>
    <w:p w:rsidR="00F25867" w:rsidRDefault="00FE3419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</w:t>
      </w:r>
      <w:r>
        <w:rPr>
          <w:rFonts w:ascii="Times New Roman" w:hAnsi="Times New Roman"/>
          <w:color w:val="000000"/>
          <w:sz w:val="28"/>
          <w:szCs w:val="28"/>
        </w:rPr>
        <w:t xml:space="preserve">мощи в виде набора социальных услуг, должно быть достаточным для проведения санаторно-курортного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</w:t>
      </w:r>
      <w:r>
        <w:rPr>
          <w:rFonts w:ascii="Times New Roman" w:hAnsi="Times New Roman"/>
          <w:color w:val="000000"/>
          <w:sz w:val="28"/>
          <w:szCs w:val="28"/>
        </w:rPr>
        <w:t xml:space="preserve">года № 279н.         </w:t>
      </w:r>
    </w:p>
    <w:p w:rsidR="00F25867" w:rsidRDefault="00FE3419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25867" w:rsidRDefault="00FE341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оказании услуг по санаторно-курортному лечению "спинальных" больных, </w:t>
      </w:r>
      <w:r>
        <w:rPr>
          <w:rFonts w:ascii="Times New Roman" w:hAnsi="Times New Roman"/>
          <w:sz w:val="28"/>
          <w:szCs w:val="28"/>
        </w:rPr>
        <w:t>передвигающихся с помощью колясок, должен быть обеспечен беспрепятственный доступ во все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</w:t>
      </w:r>
      <w:r>
        <w:rPr>
          <w:rFonts w:ascii="Times New Roman" w:hAnsi="Times New Roman"/>
          <w:sz w:val="28"/>
          <w:szCs w:val="28"/>
        </w:rPr>
        <w:t>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F25867" w:rsidRDefault="00FE3419">
      <w:pPr>
        <w:pStyle w:val="2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Размещение граждан – получателей набора социальных услуг</w:t>
      </w:r>
      <w:r>
        <w:rPr>
          <w:rFonts w:ascii="Times New Roman" w:hAnsi="Times New Roman"/>
          <w:sz w:val="28"/>
          <w:szCs w:val="28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F25867" w:rsidRDefault="00FE3419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Диетическое и лечебное питание должно проводиться в соответствии с медицинскими показаниями. При этом </w:t>
      </w:r>
      <w:r>
        <w:rPr>
          <w:rFonts w:ascii="Times New Roman" w:hAnsi="Times New Roman"/>
          <w:color w:val="000000"/>
          <w:sz w:val="28"/>
          <w:szCs w:val="28"/>
        </w:rPr>
        <w:t>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25867" w:rsidRDefault="00FE3419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Здания и сооружения организации, оказывающей санаторно-курортные услуги инвалидам с заболеваниями и последствиями травм спинного мозга должны быть:</w:t>
      </w:r>
    </w:p>
    <w:p w:rsidR="00F25867" w:rsidRDefault="00FE3419">
      <w:pPr>
        <w:pStyle w:val="2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системами аварийного освещения и аварийного энергоснабжения (стационарный генератор, обесп</w:t>
      </w:r>
      <w:r>
        <w:rPr>
          <w:rFonts w:ascii="Times New Roman" w:hAnsi="Times New Roman"/>
          <w:bCs/>
          <w:sz w:val="28"/>
          <w:szCs w:val="28"/>
        </w:rPr>
        <w:t>ечивающий основное освещение и работу оборудования в течении не менее 24 часов;</w:t>
      </w:r>
    </w:p>
    <w:p w:rsidR="00F25867" w:rsidRDefault="00FE3419">
      <w:pPr>
        <w:pStyle w:val="2"/>
        <w:numPr>
          <w:ilvl w:val="0"/>
          <w:numId w:val="4"/>
        </w:numPr>
        <w:spacing w:after="0" w:line="240" w:lineRule="auto"/>
        <w:ind w:left="0" w:firstLine="357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25867" w:rsidRDefault="00FE3419">
      <w:pPr>
        <w:pStyle w:val="2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систем</w:t>
      </w:r>
      <w:r>
        <w:rPr>
          <w:rFonts w:ascii="Times New Roman" w:hAnsi="Times New Roman"/>
          <w:bCs/>
          <w:sz w:val="28"/>
          <w:szCs w:val="28"/>
        </w:rPr>
        <w:t>ами для обеспечения пациентов питьевой водой круглосуточно;</w:t>
      </w:r>
    </w:p>
    <w:p w:rsidR="00F25867" w:rsidRDefault="00FE3419">
      <w:pPr>
        <w:pStyle w:val="2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оборудованы лифтом с круглосуточным подъемом и спуском:</w:t>
      </w:r>
    </w:p>
    <w:p w:rsidR="00F25867" w:rsidRDefault="00FE3419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Дополнительно предоставляемые услуги:</w:t>
      </w:r>
    </w:p>
    <w:p w:rsidR="00F25867" w:rsidRDefault="00FE3419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служба приема (круглосуточный прием);</w:t>
      </w:r>
    </w:p>
    <w:p w:rsidR="00F25867" w:rsidRDefault="00FE3419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круглосуточный пост охраны в зданиях, где расположены жилые</w:t>
      </w:r>
      <w:r>
        <w:rPr>
          <w:rFonts w:ascii="Times New Roman" w:hAnsi="Times New Roman"/>
          <w:bCs/>
          <w:color w:val="000000"/>
          <w:sz w:val="28"/>
          <w:szCs w:val="28"/>
        </w:rPr>
        <w:t>, лечебные, спортивно-оздоровительные и культурно-развлекательные помещения.</w:t>
      </w:r>
    </w:p>
    <w:p w:rsidR="00F25867" w:rsidRDefault="00F25867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5867" w:rsidRDefault="00FE3419">
      <w:pPr>
        <w:pStyle w:val="21"/>
        <w:numPr>
          <w:ilvl w:val="2"/>
          <w:numId w:val="5"/>
        </w:numPr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F25867" w:rsidRDefault="00FE3419">
      <w:pPr>
        <w:pStyle w:val="21"/>
        <w:numPr>
          <w:ilvl w:val="2"/>
          <w:numId w:val="5"/>
        </w:numPr>
        <w:ind w:left="0" w:firstLine="454"/>
      </w:pPr>
      <w:r>
        <w:rPr>
          <w:rFonts w:ascii="Times New Roman" w:hAnsi="Times New Roman"/>
          <w:bCs/>
          <w:sz w:val="28"/>
          <w:szCs w:val="28"/>
        </w:rPr>
        <w:t xml:space="preserve">Гражданам – получателям набора социальных услуг,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детям-инвалидам и сопровождающим их лицам</w:t>
      </w:r>
      <w:r>
        <w:rPr>
          <w:rFonts w:ascii="Times New Roman" w:hAnsi="Times New Roman"/>
          <w:bCs/>
          <w:sz w:val="28"/>
          <w:szCs w:val="28"/>
        </w:rPr>
        <w:t xml:space="preserve"> должен б</w:t>
      </w:r>
      <w:r>
        <w:rPr>
          <w:rFonts w:ascii="Times New Roman" w:hAnsi="Times New Roman"/>
          <w:bCs/>
          <w:sz w:val="28"/>
          <w:szCs w:val="28"/>
        </w:rPr>
        <w:t xml:space="preserve">ыть обеспечен трансфер из аэропорта, ж.д. вокзала к месту лечения и обратно. </w:t>
      </w:r>
      <w:r>
        <w:rPr>
          <w:rFonts w:ascii="Times New Roman" w:hAnsi="Times New Roman"/>
          <w:color w:val="000000"/>
          <w:sz w:val="28"/>
          <w:szCs w:val="28"/>
        </w:rPr>
        <w:t>Организация доставки граждан осуществляется автотранспортным средством исполнителя.</w:t>
      </w:r>
    </w:p>
    <w:p w:rsidR="00F25867" w:rsidRDefault="00FE3419">
      <w:pPr>
        <w:pStyle w:val="Standard"/>
        <w:ind w:firstLine="454"/>
        <w:jc w:val="both"/>
      </w:pPr>
      <w:r>
        <w:rPr>
          <w:rFonts w:ascii="Times New Roman" w:hAnsi="Times New Roman"/>
          <w:sz w:val="28"/>
          <w:szCs w:val="28"/>
          <w:u w:val="single"/>
        </w:rPr>
        <w:t>5. Место оказания услуг: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Российская Федерация.</w:t>
      </w:r>
      <w:bookmarkStart w:id="0" w:name="_GoBack"/>
      <w:bookmarkEnd w:id="0"/>
    </w:p>
    <w:p w:rsidR="00F25867" w:rsidRDefault="00FE3419">
      <w:pPr>
        <w:pStyle w:val="Standard"/>
        <w:ind w:firstLine="45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6. Сроки оказания услуг:</w:t>
      </w:r>
    </w:p>
    <w:p w:rsidR="00F25867" w:rsidRDefault="00FE3419">
      <w:pPr>
        <w:pStyle w:val="Standard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 момента заключения</w:t>
      </w:r>
      <w:r>
        <w:rPr>
          <w:rFonts w:ascii="Times New Roman" w:hAnsi="Times New Roman"/>
          <w:sz w:val="28"/>
          <w:szCs w:val="28"/>
        </w:rPr>
        <w:t xml:space="preserve"> государственного контракта до дня окончания сроков, указанных в путевках;</w:t>
      </w:r>
    </w:p>
    <w:p w:rsidR="00F25867" w:rsidRDefault="00FE3419">
      <w:pPr>
        <w:pStyle w:val="Standard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2) первый заезд не ранее 55 дней с момента заключения Государственного контракта;</w:t>
      </w:r>
    </w:p>
    <w:p w:rsidR="00F25867" w:rsidRDefault="00FE3419">
      <w:pPr>
        <w:pStyle w:val="Standard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окончание сроков последнего заезда не позднее 05 ноября 2019 года;</w:t>
      </w:r>
    </w:p>
    <w:p w:rsidR="00F25867" w:rsidRDefault="00FE3419">
      <w:pPr>
        <w:pStyle w:val="Standard"/>
        <w:ind w:firstLine="454"/>
        <w:jc w:val="both"/>
      </w:pPr>
      <w:r>
        <w:rPr>
          <w:rFonts w:ascii="Times New Roman" w:hAnsi="Times New Roman"/>
          <w:sz w:val="28"/>
          <w:szCs w:val="28"/>
        </w:rPr>
        <w:t>4) продолжительность санаторн</w:t>
      </w:r>
      <w:r>
        <w:rPr>
          <w:rFonts w:ascii="Times New Roman" w:hAnsi="Times New Roman"/>
          <w:sz w:val="28"/>
          <w:szCs w:val="28"/>
        </w:rPr>
        <w:t>о-курортного лечения – 24 дня.</w:t>
      </w:r>
    </w:p>
    <w:p w:rsidR="00F25867" w:rsidRDefault="00F25867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25867" w:rsidRDefault="00F25867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25867" w:rsidRDefault="00FE3419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867" w:rsidRDefault="00F25867">
      <w:pPr>
        <w:pStyle w:val="Standard"/>
        <w:tabs>
          <w:tab w:val="left" w:pos="45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67" w:rsidRDefault="00FE3419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5867" w:rsidRDefault="00FE3419">
      <w:pPr>
        <w:pStyle w:val="Standard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25867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19" w:rsidRDefault="00FE3419">
      <w:r>
        <w:separator/>
      </w:r>
    </w:p>
  </w:endnote>
  <w:endnote w:type="continuationSeparator" w:id="0">
    <w:p w:rsidR="00FE3419" w:rsidRDefault="00FE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19" w:rsidRDefault="00FE3419">
      <w:r>
        <w:rPr>
          <w:color w:val="000000"/>
        </w:rPr>
        <w:separator/>
      </w:r>
    </w:p>
  </w:footnote>
  <w:footnote w:type="continuationSeparator" w:id="0">
    <w:p w:rsidR="00FE3419" w:rsidRDefault="00FE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B2976"/>
    <w:multiLevelType w:val="multilevel"/>
    <w:tmpl w:val="8CA405E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57B90B01"/>
    <w:multiLevelType w:val="multilevel"/>
    <w:tmpl w:val="9834A98C"/>
    <w:styleLink w:val="RTF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abstractNum w:abstractNumId="2" w15:restartNumberingAfterBreak="0">
    <w:nsid w:val="5BFB00FF"/>
    <w:multiLevelType w:val="multilevel"/>
    <w:tmpl w:val="A6EC3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0A0BC6"/>
    <w:multiLevelType w:val="multilevel"/>
    <w:tmpl w:val="BC3CE01E"/>
    <w:styleLink w:val="RTFNum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abstractNum w:abstractNumId="4" w15:restartNumberingAfterBreak="0">
    <w:nsid w:val="77332427"/>
    <w:multiLevelType w:val="multilevel"/>
    <w:tmpl w:val="32E8563C"/>
    <w:styleLink w:val="RTFNum3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5867"/>
    <w:rsid w:val="00433299"/>
    <w:rsid w:val="008F4D20"/>
    <w:rsid w:val="00F25867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E87D-713C-4E10-B105-1D9D360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7">
    <w:name w:val="List Paragraph"/>
    <w:basedOn w:val="a"/>
    <w:pPr>
      <w:ind w:left="720"/>
    </w:pPr>
  </w:style>
  <w:style w:type="paragraph" w:styleId="a8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Udaeva</dc:creator>
  <cp:lastModifiedBy>Горленко Марина Михайловна</cp:lastModifiedBy>
  <cp:revision>3</cp:revision>
  <cp:lastPrinted>2018-04-13T12:21:00Z</cp:lastPrinted>
  <dcterms:created xsi:type="dcterms:W3CDTF">2019-03-15T04:47:00Z</dcterms:created>
  <dcterms:modified xsi:type="dcterms:W3CDTF">2019-03-15T04:48:00Z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