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15" w:rsidRPr="001B2715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B2715" w:rsidRPr="001B2715" w:rsidRDefault="001B2715" w:rsidP="001B27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2715" w:rsidRPr="00973B90" w:rsidRDefault="001B2715" w:rsidP="001B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1B2715" w:rsidRPr="00973B90" w:rsidRDefault="001B2715" w:rsidP="001B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2715" w:rsidRPr="00973B90" w:rsidRDefault="001B2715" w:rsidP="001B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Протез 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1B2715" w:rsidRPr="00973B90" w:rsidRDefault="001B2715" w:rsidP="001B27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973B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Протезы изготавливаются</w:t>
      </w:r>
      <w:r w:rsidRPr="00973B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973B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соответствии с ГОСТ Р 53869-2010 «Протезы нижних конечностей. Технические требования», в следующей части:</w:t>
      </w:r>
    </w:p>
    <w:p w:rsidR="001B2715" w:rsidRPr="00973B90" w:rsidRDefault="001B2715" w:rsidP="001B27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1B2715" w:rsidRPr="00973B90" w:rsidRDefault="001B2715" w:rsidP="001B27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«5.4 Протез следует собирать из узлов, соответствующих требованиям </w:t>
      </w:r>
      <w:hyperlink r:id="rId7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Р 51191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, с учетом предельной массы тела и активности пользователя.»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а) возможность находиться пользователю в следующих основных положениях: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стояния,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сидения,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приседания;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б) возможность ходьбы: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по ровной поверхности в произвольном темпе,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ровной поверхности в ускоренном темпе,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наклонной поверхности в сагиттальном направлении вверх и вниз,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лестнице вверх и вниз,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- пересеченной местности;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в) возможность перемещения в стороны приставным шагом.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br/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8.1.4.2 Внутренняя поверхность жестких приемных гильз может быть смягчена:</w:t>
      </w: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 xml:space="preserve">- приклеенной подкладкой из облямовочной юфти по </w:t>
      </w:r>
      <w:hyperlink r:id="rId8" w:history="1">
        <w:r w:rsidRPr="00973B9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ГОСТ 1904</w:t>
        </w:r>
      </w:hyperlink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 xml:space="preserve">8.1.4.3 Внутренняя поверхность кожаных приемных гильз может быть выклеена подкладкой из облямовочной юфти по </w:t>
      </w:r>
      <w:hyperlink r:id="rId9" w:history="1">
        <w:r w:rsidRPr="00973B9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ГОСТ 1904</w:t>
        </w:r>
      </w:hyperlink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8.1.4.4 На внутренней поверхности гильз не должно быть неровностей, морщин, складок, заминов, отслоений смягчающей подкладки.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8.1.4.5 Приемные несущие гильзы могут быть полноконтактными и скелетированными.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8.1.4.7 Крепление внешних устройств управления коленными и тазобедренными модулями с замками (в виде тянок, штанг и рычагов) должно быть установлено на гильзах бедра или модуле в местах, доступных для руки пользователя.»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«9.1 Материалы, применяемые при изготовлении протеза, должны соответствовать требованиям </w:t>
      </w:r>
      <w:hyperlink r:id="rId10" w:history="1">
        <w:r w:rsidRPr="00973B9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ru-RU"/>
          </w:rPr>
          <w:t>ГОСТ Р ИСО 22523</w:t>
        </w:r>
      </w:hyperlink>
      <w:r w:rsidRPr="00973B90">
        <w:rPr>
          <w:rFonts w:ascii="Times New Roman" w:eastAsia="Calibri" w:hAnsi="Times New Roman" w:cs="Times New Roman"/>
          <w:sz w:val="18"/>
          <w:szCs w:val="18"/>
          <w:lang w:eastAsia="ru-RU"/>
        </w:rPr>
        <w:t>, подраздел 5.1.»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«9.3 Металлические детали протеза должны быть изготовлены из коррозионно-стойких материалов или иметь защитные или защитно-декоративные покрытия по </w:t>
      </w:r>
      <w:hyperlink r:id="rId11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9.301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9.4 Термопластичные материалы приемных гильз протеза должны обеспечивать термическую и механическую подгонку (подформовку).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9.6 Материалы приемных гильз не должны деформироваться в процессе эксплуатации протеза.»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10.1 В комплект поставки протеза должны входить: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-протез;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 запасные детали и комплектующие узлы, имеющие срок службы, меньший, чем установленный срок службы протеза;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10.2 Памятка по обращению с изделием (инструкция по применению) - по </w:t>
      </w:r>
      <w:hyperlink r:id="rId12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2.601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hyperlink r:id="rId13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Р ИСО 22523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подраздел 13.3, перечисления а), б).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типа.»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 Маркировка должна соответствовать </w:t>
      </w:r>
      <w:hyperlink r:id="rId14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Р ИСО 22523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подраздел 13.2, с дополнениями, указанными в ТУ на протез конкретного типа.»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12.1 Упаковку ПНК проводят при их выдаче.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12.2 В зависимости от размеров ПНК упаковывают в оберточную бумагу по </w:t>
      </w:r>
      <w:hyperlink r:id="rId15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8273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в потребительскую тару - пакет из полиэтиленовой пленки по </w:t>
      </w:r>
      <w:hyperlink r:id="rId16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10354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коробку из картона по </w:t>
      </w:r>
      <w:hyperlink r:id="rId17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7933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и/или в чехол из хлопчатобумажной ткани по </w:t>
      </w:r>
      <w:hyperlink r:id="rId18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29298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B2715" w:rsidRPr="00973B90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12.3 Упакованные изделия должны быть перевязаны шпагатом по </w:t>
      </w:r>
      <w:hyperlink r:id="rId19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17308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оклеены клеевой лентой на бумажной основе по </w:t>
      </w:r>
      <w:hyperlink r:id="rId20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18251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полиэтиленовой лентой с липким слоем по </w:t>
      </w:r>
      <w:hyperlink r:id="rId21" w:history="1">
        <w:r w:rsidRPr="00973B9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ГОСТ 20477</w:t>
        </w:r>
      </w:hyperlink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r w:rsidRPr="00973B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1B2715" w:rsidRPr="00973B90" w:rsidRDefault="001B2715" w:rsidP="001B271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2715" w:rsidRPr="00973B90" w:rsidRDefault="001B2715" w:rsidP="001B2715">
      <w:pPr>
        <w:keepNext/>
        <w:spacing w:after="0" w:line="240" w:lineRule="auto"/>
        <w:ind w:left="-180" w:firstLine="36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973B9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B2715" w:rsidRDefault="001B2715" w:rsidP="001B271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p w:rsidR="00973B90" w:rsidRDefault="00973B90" w:rsidP="004516E6">
      <w:p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X="-446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559"/>
        <w:gridCol w:w="1418"/>
        <w:gridCol w:w="3543"/>
        <w:gridCol w:w="1418"/>
        <w:gridCol w:w="1417"/>
        <w:gridCol w:w="1418"/>
        <w:gridCol w:w="1417"/>
      </w:tblGrid>
      <w:tr w:rsidR="001E3464" w:rsidRPr="00424FE9" w:rsidTr="00ED2FA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E3464" w:rsidRPr="008C0077" w:rsidRDefault="001E3464" w:rsidP="00ED2FA9">
            <w:pPr>
              <w:suppressAutoHyphens/>
              <w:snapToGri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работ, </w:t>
            </w:r>
            <w:r w:rsidR="004516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шт</w:t>
            </w:r>
            <w:r w:rsidR="004516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ука</w:t>
            </w:r>
          </w:p>
          <w:p w:rsidR="001E3464" w:rsidRPr="008C0077" w:rsidRDefault="001E3464" w:rsidP="00ED2FA9">
            <w:pPr>
              <w:suppressAutoHyphens/>
              <w:snapToGri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3464" w:rsidRPr="008C0077" w:rsidRDefault="001E3464" w:rsidP="00ED2FA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E3464" w:rsidRPr="008C0077" w:rsidRDefault="001E3464" w:rsidP="00ED2FA9">
            <w:pPr>
              <w:suppressAutoHyphens/>
              <w:snapToGri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45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штуку,</w:t>
            </w:r>
          </w:p>
          <w:p w:rsidR="001E3464" w:rsidRPr="008C0077" w:rsidRDefault="001E3464" w:rsidP="00ED2F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64" w:rsidRPr="008C0077" w:rsidRDefault="004516E6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1E3464" w:rsidRPr="00424FE9" w:rsidTr="00ED2FA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код 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работы, услуги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8C0077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464" w:rsidRPr="00424FE9" w:rsidTr="00ED2F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64" w:rsidRPr="00424FE9" w:rsidRDefault="001E3464" w:rsidP="00ED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516E6" w:rsidRPr="00424FE9" w:rsidTr="004516E6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1E3464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транстибиальный</w:t>
            </w:r>
            <w:r w:rsidRPr="001E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32.50.22.190-00005043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6" w:rsidRPr="004516E6" w:rsidRDefault="004516E6" w:rsidP="00451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с полимерным чехлом на среднюю культю, модульный. Силиконовый чехол – по 2 шт. на протез. Формообразующая часть косметической облицовки – полужёсткая эластичная. Косметическое покрытие облицовки – чулки ортопедические перлоновые. Приёмная гильза индивидуальная (2 пробные гильзы). Материал приёмной гильзы слоистый пластик на основе акриловых смол. В качестве вкладного элемента применяются чехлы полиуретановые. Крепление с использованием вакуумной системы, наколенника герметизирующего эластичного. Стопа динамичная, повышенной безопасности и устойчивости при ходьбе. Протез подходит для пациентов с высокой активностью.  </w:t>
            </w:r>
            <w:r w:rsidRPr="00451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Изготовление по индивидуальным обмерам, с учетом индивидуальных потребностей Получателя.  </w:t>
            </w:r>
          </w:p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4516E6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5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450 033,33</w:t>
            </w:r>
            <w:r w:rsidRPr="00451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516E6" w:rsidRPr="004516E6" w:rsidRDefault="004516E6" w:rsidP="004516E6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E6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417" w:type="dxa"/>
            <w:vAlign w:val="center"/>
          </w:tcPr>
          <w:p w:rsidR="004516E6" w:rsidRPr="004516E6" w:rsidRDefault="004516E6" w:rsidP="004516E6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лет</w:t>
            </w:r>
          </w:p>
        </w:tc>
      </w:tr>
      <w:tr w:rsidR="004516E6" w:rsidRPr="00424FE9" w:rsidTr="000A51E2">
        <w:trPr>
          <w:trHeight w:val="2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трансфеморальный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451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32.50.22.190-00005044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8C0077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6" w:rsidRPr="008C0077" w:rsidRDefault="004516E6" w:rsidP="004516E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модульный. Формообразующая часть косметической облицовки – модульная мягкая пенополиуретановая. Косметическое покрытие облицовки – чулок эластичный перлоновый. Приёмная гильза индивидуальная (2 пробные гильзы). Материал приёмной гильзы: слоистый пластик на основе акриловых смол. Применяются силиконовые чехлы с интегрированной текстильной матрицей, антибактериальной добавкой (2 шт.) и дистальным штырем. Крепление с использованием замка. Стопа со встроенной пластиковой пружиной в комбинации с функциональной полиуретановой оболочкой и промежуточным трикотажным ремнем. Коленный шарнир моноцентрический с раздельным гидравлическим регулированием фаз сгибания и разгибания, с функцией ручного замка.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   Протез подходит для пациентов с высоким уровнем двигательной активности. </w:t>
            </w:r>
            <w:r w:rsidRPr="00451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Изготовление по индивидуальным обмерам, с учетом </w:t>
            </w:r>
            <w:bookmarkStart w:id="0" w:name="_GoBack"/>
            <w:bookmarkEnd w:id="0"/>
            <w:r w:rsidRPr="00451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индивидуальных потребностей Получателя</w:t>
            </w:r>
            <w:r w:rsidRPr="00451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4516E6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4516E6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516E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499 830,00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516E6" w:rsidRPr="004516E6" w:rsidRDefault="004516E6" w:rsidP="004516E6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E6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417" w:type="dxa"/>
            <w:vAlign w:val="center"/>
          </w:tcPr>
          <w:p w:rsidR="004516E6" w:rsidRPr="004516E6" w:rsidRDefault="004516E6" w:rsidP="004516E6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 лет</w:t>
            </w:r>
          </w:p>
        </w:tc>
      </w:tr>
      <w:tr w:rsidR="004516E6" w:rsidRPr="00424FE9" w:rsidTr="00ED2FA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6" w:rsidRPr="00424FE9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Pr="000A51E2" w:rsidRDefault="004516E6" w:rsidP="0045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1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  <w:r w:rsidRPr="000A51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 штуки</w:t>
            </w:r>
            <w:r w:rsidRPr="000A51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 начальная (максимальная) цена контракта –  </w:t>
            </w:r>
            <w:r w:rsidR="000A51E2" w:rsidRPr="000A51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1 399 896 руб. 66 коп.</w:t>
            </w:r>
          </w:p>
        </w:tc>
      </w:tr>
    </w:tbl>
    <w:p w:rsidR="0084474F" w:rsidRPr="000A51E2" w:rsidRDefault="000A51E2" w:rsidP="000A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474F" w:rsidRPr="000A51E2" w:rsidSect="001E3464">
      <w:endnotePr>
        <w:numFmt w:val="decimal"/>
      </w:endnotePr>
      <w:pgSz w:w="16838" w:h="11906" w:orient="landscape"/>
      <w:pgMar w:top="709" w:right="1418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4" w:rsidRDefault="001E3464" w:rsidP="001E3464">
      <w:pPr>
        <w:spacing w:after="0" w:line="240" w:lineRule="auto"/>
      </w:pPr>
      <w:r>
        <w:separator/>
      </w:r>
    </w:p>
  </w:endnote>
  <w:end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endnote>
  <w:endnote w:id="1">
    <w:p w:rsidR="001E3464" w:rsidRDefault="001E3464" w:rsidP="001E346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E3464" w:rsidRPr="00F020D6" w:rsidRDefault="001E3464" w:rsidP="001E3464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1E3464" w:rsidRPr="00F020D6" w:rsidRDefault="001E3464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1E3464" w:rsidRPr="00F020D6" w:rsidRDefault="001E3464" w:rsidP="001E3464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4" w:rsidRDefault="001E3464" w:rsidP="001E3464">
      <w:pPr>
        <w:spacing w:after="0" w:line="240" w:lineRule="auto"/>
      </w:pPr>
      <w:r>
        <w:separator/>
      </w:r>
    </w:p>
  </w:footnote>
  <w:foot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A51E2"/>
    <w:rsid w:val="000B41E1"/>
    <w:rsid w:val="001B2715"/>
    <w:rsid w:val="001D53D6"/>
    <w:rsid w:val="001E3464"/>
    <w:rsid w:val="002E335A"/>
    <w:rsid w:val="0030305A"/>
    <w:rsid w:val="004516E6"/>
    <w:rsid w:val="00596F81"/>
    <w:rsid w:val="00973B90"/>
    <w:rsid w:val="00A07A35"/>
    <w:rsid w:val="00B235E1"/>
    <w:rsid w:val="00C16430"/>
    <w:rsid w:val="00C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108" TargetMode="External"/><Relationship Id="rId13" Type="http://schemas.openxmlformats.org/officeDocument/2006/relationships/hyperlink" Target="http://docs.cntd.ru/document/1200065649" TargetMode="External"/><Relationship Id="rId18" Type="http://schemas.openxmlformats.org/officeDocument/2006/relationships/hyperlink" Target="http://docs.cntd.ru/document/12000448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20621" TargetMode="External"/><Relationship Id="rId7" Type="http://schemas.openxmlformats.org/officeDocument/2006/relationships/hyperlink" Target="http://docs.cntd.ru/document/1200065280" TargetMode="External"/><Relationship Id="rId12" Type="http://schemas.openxmlformats.org/officeDocument/2006/relationships/hyperlink" Target="http://docs.cntd.ru/document/1200045398" TargetMode="External"/><Relationship Id="rId17" Type="http://schemas.openxmlformats.org/officeDocument/2006/relationships/hyperlink" Target="http://docs.cntd.ru/document/120001851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6604" TargetMode="External"/><Relationship Id="rId20" Type="http://schemas.openxmlformats.org/officeDocument/2006/relationships/hyperlink" Target="http://docs.cntd.ru/document/120001814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48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181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065649" TargetMode="External"/><Relationship Id="rId19" Type="http://schemas.openxmlformats.org/officeDocument/2006/relationships/hyperlink" Target="http://docs.cntd.ru/document/1200020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656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AC68-2081-49ED-827D-13D45F79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6</cp:revision>
  <dcterms:created xsi:type="dcterms:W3CDTF">2018-12-04T09:25:00Z</dcterms:created>
  <dcterms:modified xsi:type="dcterms:W3CDTF">2019-03-14T12:49:00Z</dcterms:modified>
</cp:coreProperties>
</file>