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8" w:rsidRDefault="00D97708" w:rsidP="00AB72B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97708" w:rsidRPr="00D97708" w:rsidRDefault="00D97708" w:rsidP="00D97708">
      <w:pPr>
        <w:jc w:val="center"/>
        <w:rPr>
          <w:b/>
          <w:szCs w:val="23"/>
        </w:rPr>
      </w:pPr>
      <w:r w:rsidRPr="00D97708">
        <w:rPr>
          <w:b/>
          <w:szCs w:val="23"/>
        </w:rPr>
        <w:t>Описание объекта закупки (техническое задание)</w:t>
      </w:r>
    </w:p>
    <w:p w:rsidR="00D97708" w:rsidRDefault="00D97708" w:rsidP="00AB72B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72BC" w:rsidRPr="006648C0" w:rsidRDefault="00AB72BC" w:rsidP="001C1864">
      <w:pPr>
        <w:ind w:firstLine="708"/>
        <w:jc w:val="both"/>
        <w:rPr>
          <w:sz w:val="23"/>
          <w:szCs w:val="23"/>
        </w:rPr>
      </w:pPr>
      <w:bookmarkStart w:id="0" w:name="_GoBack"/>
      <w:bookmarkEnd w:id="0"/>
      <w:r w:rsidRPr="006648C0">
        <w:rPr>
          <w:sz w:val="23"/>
          <w:szCs w:val="23"/>
        </w:rPr>
        <w:t>Изделия, удовлетворяющие следующим требованиям:</w:t>
      </w:r>
    </w:p>
    <w:p w:rsidR="00AB72BC" w:rsidRPr="006648C0" w:rsidRDefault="00AB72BC" w:rsidP="00AB72BC">
      <w:pPr>
        <w:jc w:val="both"/>
        <w:rPr>
          <w:rFonts w:ascii="Times New Roman CYR" w:hAnsi="Times New Roman CYR" w:cs="Times New Roman CYR"/>
          <w:sz w:val="23"/>
          <w:szCs w:val="23"/>
        </w:rPr>
      </w:pPr>
      <w:r w:rsidRPr="006648C0">
        <w:rPr>
          <w:sz w:val="23"/>
          <w:szCs w:val="23"/>
        </w:rPr>
        <w:t xml:space="preserve">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Pr="006648C0">
        <w:rPr>
          <w:rFonts w:ascii="Times New Roman CYR" w:hAnsi="Times New Roman CYR" w:cs="Times New Roman CYR"/>
          <w:sz w:val="23"/>
          <w:szCs w:val="23"/>
        </w:rPr>
        <w:t>(Закон Российской Федерации от 07.02.1992 № 2300-1 «О защите прав потребителей»).</w:t>
      </w:r>
    </w:p>
    <w:p w:rsidR="00AB72BC" w:rsidRPr="006648C0" w:rsidRDefault="00AB72BC" w:rsidP="00AB72BC">
      <w:pPr>
        <w:widowControl w:val="0"/>
        <w:jc w:val="both"/>
        <w:rPr>
          <w:rFonts w:ascii="Times New Roman CYR" w:hAnsi="Times New Roman CYR" w:cs="Times New Roman CYR"/>
          <w:sz w:val="23"/>
          <w:szCs w:val="23"/>
        </w:rPr>
      </w:pPr>
      <w:r w:rsidRPr="006648C0">
        <w:rPr>
          <w:sz w:val="23"/>
          <w:szCs w:val="23"/>
        </w:rPr>
        <w:t>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 w:rsidRPr="006648C0">
        <w:rPr>
          <w:rFonts w:ascii="Times New Roman CYR" w:hAnsi="Times New Roman CYR" w:cs="Times New Roman CYR"/>
          <w:sz w:val="23"/>
          <w:szCs w:val="23"/>
        </w:rPr>
        <w:t xml:space="preserve">. </w:t>
      </w:r>
    </w:p>
    <w:p w:rsidR="00AB72BC" w:rsidRPr="006648C0" w:rsidRDefault="00AB72BC" w:rsidP="00AB72BC">
      <w:pPr>
        <w:widowControl w:val="0"/>
        <w:jc w:val="both"/>
        <w:rPr>
          <w:sz w:val="23"/>
          <w:szCs w:val="23"/>
        </w:rPr>
      </w:pPr>
      <w:r w:rsidRPr="006648C0">
        <w:rPr>
          <w:sz w:val="23"/>
          <w:szCs w:val="23"/>
        </w:rPr>
        <w:t>3. Изделия должны быть новыми. Изделия должны быть свободными от прав третьих лиц</w:t>
      </w:r>
      <w:r w:rsidRPr="006648C0">
        <w:rPr>
          <w:rFonts w:ascii="Times New Roman CYR" w:hAnsi="Times New Roman CYR" w:cs="Times New Roman CYR"/>
          <w:sz w:val="23"/>
          <w:szCs w:val="23"/>
        </w:rPr>
        <w:t>.</w:t>
      </w:r>
    </w:p>
    <w:p w:rsidR="00AB72BC" w:rsidRPr="006648C0" w:rsidRDefault="00AB72BC" w:rsidP="00AB72BC">
      <w:pPr>
        <w:jc w:val="both"/>
        <w:rPr>
          <w:sz w:val="23"/>
          <w:szCs w:val="23"/>
        </w:rPr>
      </w:pPr>
      <w:r w:rsidRPr="006648C0">
        <w:rPr>
          <w:sz w:val="23"/>
          <w:szCs w:val="23"/>
        </w:rPr>
        <w:t xml:space="preserve">4. </w:t>
      </w:r>
      <w:r w:rsidRPr="006648C0">
        <w:rPr>
          <w:sz w:val="23"/>
          <w:szCs w:val="23"/>
          <w:lang w:eastAsia="ar-SA"/>
        </w:rPr>
        <w:t>Изделия должны отвечать следующим требованиям</w:t>
      </w:r>
      <w:r w:rsidRPr="006648C0">
        <w:rPr>
          <w:rStyle w:val="a4"/>
          <w:sz w:val="23"/>
          <w:szCs w:val="23"/>
        </w:rPr>
        <w:t xml:space="preserve"> </w:t>
      </w:r>
      <w:r w:rsidRPr="006648C0">
        <w:rPr>
          <w:rStyle w:val="a4"/>
          <w:sz w:val="23"/>
          <w:szCs w:val="23"/>
        </w:rPr>
        <w:footnoteReference w:id="1"/>
      </w:r>
      <w:r w:rsidRPr="006648C0">
        <w:rPr>
          <w:sz w:val="23"/>
          <w:szCs w:val="23"/>
        </w:rPr>
        <w:t>:</w:t>
      </w:r>
    </w:p>
    <w:p w:rsidR="00AB72BC" w:rsidRPr="006648C0" w:rsidRDefault="00AB72BC" w:rsidP="00AB72BC">
      <w:pPr>
        <w:jc w:val="both"/>
        <w:rPr>
          <w:sz w:val="23"/>
          <w:szCs w:val="23"/>
        </w:rPr>
      </w:pPr>
    </w:p>
    <w:tbl>
      <w:tblPr>
        <w:tblStyle w:val="a3"/>
        <w:tblW w:w="10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5"/>
        <w:gridCol w:w="1628"/>
        <w:gridCol w:w="1984"/>
        <w:gridCol w:w="1560"/>
        <w:gridCol w:w="1576"/>
        <w:gridCol w:w="1826"/>
        <w:gridCol w:w="992"/>
      </w:tblGrid>
      <w:tr w:rsidR="00AB72BC" w:rsidRPr="006648C0" w:rsidTr="00842E04">
        <w:tc>
          <w:tcPr>
            <w:tcW w:w="465" w:type="dxa"/>
          </w:tcPr>
          <w:p w:rsidR="00AB72BC" w:rsidRPr="006648C0" w:rsidRDefault="00AB72BC" w:rsidP="008E5907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№</w:t>
            </w:r>
          </w:p>
          <w:p w:rsidR="00AB72BC" w:rsidRPr="006648C0" w:rsidRDefault="00AB72BC" w:rsidP="008E5907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п/п</w:t>
            </w:r>
          </w:p>
        </w:tc>
        <w:tc>
          <w:tcPr>
            <w:tcW w:w="1628" w:type="dxa"/>
          </w:tcPr>
          <w:p w:rsidR="00AB72BC" w:rsidRPr="006648C0" w:rsidRDefault="00AB72BC" w:rsidP="008E5907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Наименование Изделия</w:t>
            </w:r>
            <w:r w:rsidR="00CB66FE">
              <w:rPr>
                <w:sz w:val="23"/>
                <w:szCs w:val="23"/>
              </w:rPr>
              <w:t xml:space="preserve"> по КТРУ</w:t>
            </w:r>
          </w:p>
        </w:tc>
        <w:tc>
          <w:tcPr>
            <w:tcW w:w="1984" w:type="dxa"/>
          </w:tcPr>
          <w:p w:rsidR="00AB72BC" w:rsidRPr="006648C0" w:rsidRDefault="00AB72BC" w:rsidP="008E5907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Характеристика Изделия</w:t>
            </w: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Наименование используемого товара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Показатель </w:t>
            </w:r>
            <w:r w:rsidRPr="006648C0">
              <w:rPr>
                <w:bCs/>
                <w:sz w:val="23"/>
                <w:szCs w:val="23"/>
              </w:rPr>
              <w:t>характеристики используемого товара</w:t>
            </w:r>
          </w:p>
        </w:tc>
        <w:tc>
          <w:tcPr>
            <w:tcW w:w="1826" w:type="dxa"/>
          </w:tcPr>
          <w:p w:rsidR="00AB72BC" w:rsidRPr="006648C0" w:rsidRDefault="00AB72BC" w:rsidP="008E5907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</w:tcPr>
          <w:p w:rsidR="00AB72BC" w:rsidRPr="006648C0" w:rsidRDefault="00AB72BC" w:rsidP="008E5907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Количество</w:t>
            </w:r>
          </w:p>
          <w:p w:rsidR="00AB72BC" w:rsidRPr="006648C0" w:rsidRDefault="00AB72BC" w:rsidP="008E5907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Изделий</w:t>
            </w:r>
          </w:p>
          <w:p w:rsidR="00AB72BC" w:rsidRPr="006648C0" w:rsidRDefault="00AB72BC" w:rsidP="008E5907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(шт.)</w:t>
            </w:r>
          </w:p>
        </w:tc>
      </w:tr>
      <w:tr w:rsidR="00AB72BC" w:rsidRPr="006648C0" w:rsidTr="00842E04">
        <w:tc>
          <w:tcPr>
            <w:tcW w:w="465" w:type="dxa"/>
            <w:vMerge w:val="restart"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1.</w:t>
            </w:r>
          </w:p>
        </w:tc>
        <w:tc>
          <w:tcPr>
            <w:tcW w:w="1628" w:type="dxa"/>
            <w:vMerge w:val="restart"/>
          </w:tcPr>
          <w:p w:rsidR="00AB72BC" w:rsidRPr="006648C0" w:rsidRDefault="00AB72BC" w:rsidP="00842E04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Протез </w:t>
            </w:r>
            <w:r w:rsidR="00842E04">
              <w:rPr>
                <w:sz w:val="23"/>
                <w:szCs w:val="23"/>
              </w:rPr>
              <w:t>транстибиальный</w:t>
            </w:r>
          </w:p>
        </w:tc>
        <w:tc>
          <w:tcPr>
            <w:tcW w:w="1984" w:type="dxa"/>
            <w:vMerge w:val="restart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Протез голени модульный</w:t>
            </w:r>
            <w:r w:rsidR="00842E04">
              <w:rPr>
                <w:sz w:val="23"/>
                <w:szCs w:val="23"/>
              </w:rPr>
              <w:t>,</w:t>
            </w:r>
            <w:r w:rsidRPr="006648C0">
              <w:rPr>
                <w:sz w:val="23"/>
                <w:szCs w:val="23"/>
              </w:rPr>
              <w:t xml:space="preserve"> с несущей приемной гильзой, с полимерным чехлом. Стопа с </w:t>
            </w:r>
            <w:proofErr w:type="spellStart"/>
            <w:r w:rsidRPr="006648C0">
              <w:rPr>
                <w:sz w:val="23"/>
                <w:szCs w:val="23"/>
              </w:rPr>
              <w:t>взаимосоединенными</w:t>
            </w:r>
            <w:proofErr w:type="spellEnd"/>
            <w:r w:rsidRPr="006648C0">
              <w:rPr>
                <w:sz w:val="23"/>
                <w:szCs w:val="23"/>
              </w:rPr>
              <w:t xml:space="preserve"> сдвоенными упругими элементами и пропорциональным накоплением и возвратом энергии. Полуфабрикаты на нагрузку до 125 кг. Чехлы махровые, чехлы </w:t>
            </w:r>
            <w:proofErr w:type="spellStart"/>
            <w:r w:rsidRPr="006648C0">
              <w:rPr>
                <w:sz w:val="23"/>
                <w:szCs w:val="23"/>
              </w:rPr>
              <w:t>перлоновые</w:t>
            </w:r>
            <w:proofErr w:type="spellEnd"/>
            <w:r w:rsidRPr="006648C0">
              <w:rPr>
                <w:sz w:val="23"/>
                <w:szCs w:val="23"/>
              </w:rPr>
              <w:t xml:space="preserve">. Косметическая облицовка модульная. Крепление вакуумное с полимерным наколенником. </w:t>
            </w: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Материал несущей приемной гильзы – слоистый пластик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left="57"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Наличие</w:t>
            </w:r>
          </w:p>
        </w:tc>
        <w:tc>
          <w:tcPr>
            <w:tcW w:w="1826" w:type="dxa"/>
            <w:vMerge w:val="restart"/>
          </w:tcPr>
          <w:p w:rsidR="00AB72BC" w:rsidRPr="006648C0" w:rsidRDefault="00AB72BC" w:rsidP="008E5907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Заключение медико-технической комиссии</w:t>
            </w:r>
          </w:p>
        </w:tc>
        <w:tc>
          <w:tcPr>
            <w:tcW w:w="992" w:type="dxa"/>
            <w:vMerge w:val="restart"/>
          </w:tcPr>
          <w:p w:rsidR="00AB72BC" w:rsidRPr="006648C0" w:rsidRDefault="00AB72BC" w:rsidP="008E5907">
            <w:pPr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1</w:t>
            </w: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Материал стопы 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Углепластик</w:t>
            </w:r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Материал полуфабрикатов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Титан</w:t>
            </w:r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Материал косметической облицовки – полиуретан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Наличие</w:t>
            </w:r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  <w:vMerge w:val="restart"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2.</w:t>
            </w:r>
          </w:p>
        </w:tc>
        <w:tc>
          <w:tcPr>
            <w:tcW w:w="1628" w:type="dxa"/>
            <w:vMerge w:val="restart"/>
          </w:tcPr>
          <w:p w:rsidR="00AB72BC" w:rsidRPr="006648C0" w:rsidRDefault="00842E04" w:rsidP="008E590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Протез </w:t>
            </w:r>
            <w:r>
              <w:rPr>
                <w:sz w:val="23"/>
                <w:szCs w:val="23"/>
              </w:rPr>
              <w:t>транстибиальный</w:t>
            </w:r>
          </w:p>
        </w:tc>
        <w:tc>
          <w:tcPr>
            <w:tcW w:w="1984" w:type="dxa"/>
            <w:vMerge w:val="restart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Протез голени модульный</w:t>
            </w:r>
            <w:r w:rsidR="00842E04">
              <w:rPr>
                <w:sz w:val="23"/>
                <w:szCs w:val="23"/>
              </w:rPr>
              <w:t>,</w:t>
            </w:r>
            <w:r w:rsidRPr="006648C0">
              <w:rPr>
                <w:sz w:val="23"/>
                <w:szCs w:val="23"/>
              </w:rPr>
              <w:t xml:space="preserve"> с несущей приемной гильзой</w:t>
            </w:r>
            <w:r w:rsidRPr="006648C0">
              <w:rPr>
                <w:rFonts w:eastAsia="Arial Unicode MS"/>
                <w:sz w:val="23"/>
                <w:szCs w:val="23"/>
              </w:rPr>
              <w:t xml:space="preserve"> </w:t>
            </w:r>
            <w:r w:rsidRPr="006648C0">
              <w:rPr>
                <w:rFonts w:eastAsia="Arial Unicode MS"/>
                <w:sz w:val="23"/>
                <w:szCs w:val="23"/>
              </w:rPr>
              <w:lastRenderedPageBreak/>
              <w:t xml:space="preserve">индивидуального изготовления по слепку, усиленная высокопрочным карбоном, с применением технологии построения примерочного протеза с приемной гильзой. Стопа со средним уровнем энергосбережения.  Полимерный чехол с дистальным соединением. Регулировочно-соединительные устройства -на нагрузку соответствующую весу получателя.  Косметическая облицовка модульная. Чехлы махровые, чехлы </w:t>
            </w:r>
            <w:proofErr w:type="spellStart"/>
            <w:r w:rsidRPr="006648C0">
              <w:rPr>
                <w:rFonts w:eastAsia="Arial Unicode MS"/>
                <w:sz w:val="23"/>
                <w:szCs w:val="23"/>
              </w:rPr>
              <w:t>перлоновые</w:t>
            </w:r>
            <w:proofErr w:type="spellEnd"/>
            <w:r w:rsidRPr="006648C0">
              <w:rPr>
                <w:rFonts w:eastAsia="Arial Unicode MS"/>
                <w:sz w:val="23"/>
                <w:szCs w:val="23"/>
              </w:rPr>
              <w:t>. Крепление за счет замкового устройства для полимерных чехлов.</w:t>
            </w: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lastRenderedPageBreak/>
              <w:t xml:space="preserve">Материал примерочной приемной гильзы –термопласт 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left="57"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Наличие</w:t>
            </w:r>
          </w:p>
        </w:tc>
        <w:tc>
          <w:tcPr>
            <w:tcW w:w="1826" w:type="dxa"/>
            <w:vMerge w:val="restart"/>
          </w:tcPr>
          <w:p w:rsidR="00AB72BC" w:rsidRPr="006648C0" w:rsidRDefault="00AB72BC" w:rsidP="008E5907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Заключение медико-технической комиссии</w:t>
            </w:r>
          </w:p>
        </w:tc>
        <w:tc>
          <w:tcPr>
            <w:tcW w:w="992" w:type="dxa"/>
            <w:vMerge w:val="restart"/>
          </w:tcPr>
          <w:p w:rsidR="00AB72BC" w:rsidRPr="006648C0" w:rsidRDefault="00AB72BC" w:rsidP="008E5907">
            <w:pPr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1</w:t>
            </w: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keepNext/>
              <w:tabs>
                <w:tab w:val="left" w:pos="0"/>
              </w:tabs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Материал несущей приемной гильзы – литьевой слоистый пластик на основе акриловых смол с содержанием свободных ионов серебра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Наличие</w:t>
            </w:r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keepNext/>
              <w:tabs>
                <w:tab w:val="left" w:pos="0"/>
              </w:tabs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Материал стопы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Углепластик</w:t>
            </w:r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keepNext/>
              <w:tabs>
                <w:tab w:val="left" w:pos="0"/>
              </w:tabs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Материал регулировочно-соединительных устройств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Титан</w:t>
            </w:r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keepNext/>
              <w:tabs>
                <w:tab w:val="left" w:pos="0"/>
              </w:tabs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Материал косметической облицовки 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proofErr w:type="spellStart"/>
            <w:r w:rsidRPr="006648C0">
              <w:rPr>
                <w:sz w:val="23"/>
                <w:szCs w:val="23"/>
              </w:rPr>
              <w:t>Пенополиуретан</w:t>
            </w:r>
            <w:proofErr w:type="spellEnd"/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3.</w:t>
            </w:r>
          </w:p>
        </w:tc>
        <w:tc>
          <w:tcPr>
            <w:tcW w:w="1628" w:type="dxa"/>
          </w:tcPr>
          <w:p w:rsidR="00AB72BC" w:rsidRPr="006648C0" w:rsidRDefault="00842E04" w:rsidP="008E590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Протез </w:t>
            </w:r>
            <w:r>
              <w:rPr>
                <w:sz w:val="23"/>
                <w:szCs w:val="23"/>
              </w:rPr>
              <w:t>транстибиальный</w:t>
            </w:r>
          </w:p>
        </w:tc>
        <w:tc>
          <w:tcPr>
            <w:tcW w:w="1984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Протез голени для купания</w:t>
            </w:r>
            <w:r w:rsidR="00842E04">
              <w:rPr>
                <w:sz w:val="23"/>
                <w:szCs w:val="23"/>
              </w:rPr>
              <w:t>,</w:t>
            </w:r>
            <w:r w:rsidRPr="006648C0">
              <w:rPr>
                <w:sz w:val="23"/>
                <w:szCs w:val="23"/>
              </w:rPr>
              <w:t xml:space="preserve"> с несущей приемной гильзой, с полимерным чехлом. </w:t>
            </w:r>
            <w:proofErr w:type="spellStart"/>
            <w:r w:rsidRPr="006648C0">
              <w:rPr>
                <w:sz w:val="23"/>
                <w:szCs w:val="23"/>
              </w:rPr>
              <w:t>Бесшарнирная</w:t>
            </w:r>
            <w:proofErr w:type="spellEnd"/>
            <w:r w:rsidRPr="006648C0">
              <w:rPr>
                <w:sz w:val="23"/>
                <w:szCs w:val="23"/>
              </w:rPr>
              <w:t xml:space="preserve"> влагозащищенная стопа с повышенной упругостью носочной части, для получателей с любым уровнем двигательной активности. Полуфабрикаты на нагрузку до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6648C0">
                <w:rPr>
                  <w:sz w:val="23"/>
                  <w:szCs w:val="23"/>
                </w:rPr>
                <w:t>150 кг</w:t>
              </w:r>
            </w:smartTag>
            <w:r w:rsidRPr="006648C0">
              <w:rPr>
                <w:sz w:val="23"/>
                <w:szCs w:val="23"/>
              </w:rPr>
              <w:t xml:space="preserve">. Чехлы </w:t>
            </w:r>
            <w:r w:rsidRPr="006648C0">
              <w:rPr>
                <w:sz w:val="23"/>
                <w:szCs w:val="23"/>
              </w:rPr>
              <w:lastRenderedPageBreak/>
              <w:t xml:space="preserve">махровые, чехлы </w:t>
            </w:r>
            <w:proofErr w:type="spellStart"/>
            <w:r w:rsidRPr="006648C0">
              <w:rPr>
                <w:sz w:val="23"/>
                <w:szCs w:val="23"/>
              </w:rPr>
              <w:t>перлоновые</w:t>
            </w:r>
            <w:proofErr w:type="spellEnd"/>
            <w:r w:rsidRPr="006648C0">
              <w:rPr>
                <w:sz w:val="23"/>
                <w:szCs w:val="23"/>
              </w:rPr>
              <w:t xml:space="preserve">. Крепление за счет замкового устройства для полимерных чехлов. </w:t>
            </w: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lastRenderedPageBreak/>
              <w:t>Материал несущей приемной гильзы – слоистый пластик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left="57"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Наличие</w:t>
            </w:r>
          </w:p>
        </w:tc>
        <w:tc>
          <w:tcPr>
            <w:tcW w:w="1826" w:type="dxa"/>
          </w:tcPr>
          <w:p w:rsidR="00AB72BC" w:rsidRPr="006648C0" w:rsidRDefault="00AB72BC" w:rsidP="008E5907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Заключение медико-технической комиссии</w:t>
            </w:r>
          </w:p>
        </w:tc>
        <w:tc>
          <w:tcPr>
            <w:tcW w:w="992" w:type="dxa"/>
          </w:tcPr>
          <w:p w:rsidR="00AB72BC" w:rsidRPr="006648C0" w:rsidRDefault="00AB72BC" w:rsidP="008E5907">
            <w:pPr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1</w:t>
            </w:r>
          </w:p>
        </w:tc>
      </w:tr>
      <w:tr w:rsidR="00AB72BC" w:rsidRPr="006648C0" w:rsidTr="00842E04">
        <w:tc>
          <w:tcPr>
            <w:tcW w:w="465" w:type="dxa"/>
            <w:vMerge w:val="restart"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1628" w:type="dxa"/>
            <w:vMerge w:val="restart"/>
          </w:tcPr>
          <w:p w:rsidR="00AB72BC" w:rsidRPr="006648C0" w:rsidRDefault="00842E04" w:rsidP="008E5907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Протез </w:t>
            </w:r>
            <w:r>
              <w:rPr>
                <w:sz w:val="23"/>
                <w:szCs w:val="23"/>
              </w:rPr>
              <w:t>транстибиальный</w:t>
            </w:r>
          </w:p>
        </w:tc>
        <w:tc>
          <w:tcPr>
            <w:tcW w:w="1984" w:type="dxa"/>
            <w:vMerge w:val="restart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Протез голени для купания, модульный с несущей приемной гильзой, с полимерным чехлом. </w:t>
            </w:r>
            <w:proofErr w:type="spellStart"/>
            <w:r w:rsidRPr="006648C0">
              <w:rPr>
                <w:sz w:val="23"/>
                <w:szCs w:val="23"/>
              </w:rPr>
              <w:t>Бесшарнирная</w:t>
            </w:r>
            <w:proofErr w:type="spellEnd"/>
            <w:r w:rsidRPr="006648C0">
              <w:rPr>
                <w:sz w:val="23"/>
                <w:szCs w:val="23"/>
              </w:rPr>
              <w:t xml:space="preserve"> влагозащищенная стопа с повышенной упругостью носочной части для получателей со средним уровнем двигательной активности. Полуфабрикаты на нагрузку соответствующую весу получателя. Косметическая облицовка немодульная либо без косметической облицовки. Чехлы махровые, чехлы </w:t>
            </w:r>
            <w:proofErr w:type="spellStart"/>
            <w:r w:rsidRPr="006648C0">
              <w:rPr>
                <w:sz w:val="23"/>
                <w:szCs w:val="23"/>
              </w:rPr>
              <w:t>перлоновые</w:t>
            </w:r>
            <w:proofErr w:type="spellEnd"/>
            <w:r w:rsidRPr="006648C0">
              <w:rPr>
                <w:sz w:val="23"/>
                <w:szCs w:val="23"/>
              </w:rPr>
              <w:t xml:space="preserve">. Крепление за счет формы гильзы и полимерного наколенника. </w:t>
            </w: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Материал несущей приемной гильзы – слоистый пластик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left="57"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Наличие</w:t>
            </w:r>
          </w:p>
        </w:tc>
        <w:tc>
          <w:tcPr>
            <w:tcW w:w="1826" w:type="dxa"/>
            <w:vMerge w:val="restart"/>
          </w:tcPr>
          <w:p w:rsidR="00AB72BC" w:rsidRPr="006648C0" w:rsidRDefault="00AB72BC" w:rsidP="008E5907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Заключение медико-технической комиссии</w:t>
            </w:r>
          </w:p>
        </w:tc>
        <w:tc>
          <w:tcPr>
            <w:tcW w:w="992" w:type="dxa"/>
            <w:vMerge w:val="restart"/>
          </w:tcPr>
          <w:p w:rsidR="00AB72BC" w:rsidRPr="006648C0" w:rsidRDefault="00AB72BC" w:rsidP="008E5907">
            <w:pPr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1</w:t>
            </w: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keepNext/>
              <w:tabs>
                <w:tab w:val="left" w:pos="0"/>
              </w:tabs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Материал полуфабрикатов 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Титан</w:t>
            </w:r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keepNext/>
              <w:tabs>
                <w:tab w:val="left" w:pos="0"/>
              </w:tabs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Материал косметической облицовки – слоистый пластик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Наличие</w:t>
            </w:r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AB72BC" w:rsidRPr="006648C0" w:rsidTr="00842E04">
        <w:tc>
          <w:tcPr>
            <w:tcW w:w="465" w:type="dxa"/>
            <w:vMerge w:val="restart"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5.</w:t>
            </w:r>
          </w:p>
        </w:tc>
        <w:tc>
          <w:tcPr>
            <w:tcW w:w="1628" w:type="dxa"/>
            <w:vMerge w:val="restart"/>
          </w:tcPr>
          <w:p w:rsidR="00AB72BC" w:rsidRPr="006648C0" w:rsidRDefault="00AB72BC" w:rsidP="00842E04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Протез </w:t>
            </w:r>
            <w:r w:rsidR="00842E04">
              <w:rPr>
                <w:sz w:val="23"/>
                <w:szCs w:val="23"/>
              </w:rPr>
              <w:t>трансфеморальный</w:t>
            </w:r>
            <w:r w:rsidRPr="006648C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Протез бедра модульный</w:t>
            </w:r>
            <w:r w:rsidR="00842E04">
              <w:rPr>
                <w:sz w:val="23"/>
                <w:szCs w:val="23"/>
              </w:rPr>
              <w:t>,</w:t>
            </w:r>
            <w:r w:rsidRPr="006648C0">
              <w:rPr>
                <w:sz w:val="23"/>
                <w:szCs w:val="23"/>
              </w:rPr>
              <w:t xml:space="preserve"> с несущей приемной гильзой индивидуального изготовления по слепку, с полимерным чехлом. Компоновка для короткой культи </w:t>
            </w:r>
            <w:r w:rsidRPr="006648C0">
              <w:rPr>
                <w:sz w:val="23"/>
                <w:szCs w:val="23"/>
              </w:rPr>
              <w:lastRenderedPageBreak/>
              <w:t xml:space="preserve">с замковым устройством для сгибания под приемной гильзой. Коленный модуль- 5-ти </w:t>
            </w:r>
            <w:proofErr w:type="spellStart"/>
            <w:r w:rsidRPr="006648C0">
              <w:rPr>
                <w:sz w:val="23"/>
                <w:szCs w:val="23"/>
              </w:rPr>
              <w:t>осный</w:t>
            </w:r>
            <w:proofErr w:type="spellEnd"/>
            <w:r w:rsidRPr="006648C0">
              <w:rPr>
                <w:sz w:val="23"/>
                <w:szCs w:val="23"/>
              </w:rPr>
              <w:t xml:space="preserve"> полицентрический механизм, позволяющий раздельно настраивать фазы переноса и сгибания в опоре. Полностью механический </w:t>
            </w:r>
            <w:r w:rsidRPr="006648C0">
              <w:rPr>
                <w:sz w:val="23"/>
                <w:szCs w:val="23"/>
                <w:lang w:val="en-US"/>
              </w:rPr>
              <w:t>EBS</w:t>
            </w:r>
            <w:r w:rsidRPr="006648C0">
              <w:rPr>
                <w:sz w:val="23"/>
                <w:szCs w:val="23"/>
              </w:rPr>
              <w:t xml:space="preserve"> элемент с пружинным амортизатором, настраиваемое сгибание в фазе опоры до 10°. Оснащен вспомогательной пружиной и </w:t>
            </w:r>
            <w:proofErr w:type="spellStart"/>
            <w:r w:rsidRPr="006648C0">
              <w:rPr>
                <w:sz w:val="23"/>
                <w:szCs w:val="23"/>
              </w:rPr>
              <w:t>самонастраиваемым</w:t>
            </w:r>
            <w:proofErr w:type="spellEnd"/>
            <w:r w:rsidRPr="006648C0">
              <w:rPr>
                <w:sz w:val="23"/>
                <w:szCs w:val="23"/>
              </w:rPr>
              <w:t xml:space="preserve"> фрикционным элементом для контроля и плавной остановки разгибания. Оба механизма легко настраиваются. Опциональный ручной замок. Стопа с </w:t>
            </w:r>
            <w:proofErr w:type="spellStart"/>
            <w:r w:rsidRPr="006648C0">
              <w:rPr>
                <w:sz w:val="23"/>
                <w:szCs w:val="23"/>
              </w:rPr>
              <w:t>взаимосоединенными</w:t>
            </w:r>
            <w:proofErr w:type="spellEnd"/>
            <w:r w:rsidRPr="006648C0">
              <w:rPr>
                <w:sz w:val="23"/>
                <w:szCs w:val="23"/>
              </w:rPr>
              <w:t xml:space="preserve"> сдвоенными упругими элементами и пропорциональным накоплением и возвратом энергии,</w:t>
            </w:r>
            <w:r w:rsidRPr="006648C0">
              <w:rPr>
                <w:color w:val="FF0000"/>
                <w:sz w:val="23"/>
                <w:szCs w:val="23"/>
              </w:rPr>
              <w:t xml:space="preserve"> </w:t>
            </w:r>
            <w:r w:rsidRPr="006648C0">
              <w:rPr>
                <w:sz w:val="23"/>
                <w:szCs w:val="23"/>
              </w:rPr>
              <w:t xml:space="preserve">для получателей со средним и повышенным уровнем двигательной активности.    Полуфабрикаты на нагрузку до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648C0">
                <w:rPr>
                  <w:sz w:val="23"/>
                  <w:szCs w:val="23"/>
                </w:rPr>
                <w:t>125 кг</w:t>
              </w:r>
            </w:smartTag>
            <w:r w:rsidRPr="006648C0">
              <w:rPr>
                <w:sz w:val="23"/>
                <w:szCs w:val="23"/>
              </w:rPr>
              <w:t xml:space="preserve">. Чехлы махровые, чехлы </w:t>
            </w:r>
            <w:proofErr w:type="spellStart"/>
            <w:r w:rsidRPr="006648C0">
              <w:rPr>
                <w:sz w:val="23"/>
                <w:szCs w:val="23"/>
              </w:rPr>
              <w:t>перлоновые</w:t>
            </w:r>
            <w:proofErr w:type="spellEnd"/>
            <w:r w:rsidRPr="006648C0">
              <w:rPr>
                <w:sz w:val="23"/>
                <w:szCs w:val="23"/>
              </w:rPr>
              <w:t xml:space="preserve">. </w:t>
            </w:r>
            <w:r w:rsidRPr="006648C0">
              <w:rPr>
                <w:sz w:val="23"/>
                <w:szCs w:val="23"/>
              </w:rPr>
              <w:lastRenderedPageBreak/>
              <w:t>Косметическая облицовка модульная. Крепление за счет замкового устройства для полимерных чехлов, дополнительное крепление с помощью эластичного бандажа.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lastRenderedPageBreak/>
              <w:t xml:space="preserve">Материал стопы – 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left="57"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Углепластик</w:t>
            </w:r>
          </w:p>
        </w:tc>
        <w:tc>
          <w:tcPr>
            <w:tcW w:w="1826" w:type="dxa"/>
            <w:vMerge w:val="restart"/>
          </w:tcPr>
          <w:p w:rsidR="00AB72BC" w:rsidRPr="006648C0" w:rsidRDefault="00AB72BC" w:rsidP="008E5907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Заключение медико-технической комиссии</w:t>
            </w:r>
          </w:p>
        </w:tc>
        <w:tc>
          <w:tcPr>
            <w:tcW w:w="992" w:type="dxa"/>
            <w:vMerge w:val="restart"/>
          </w:tcPr>
          <w:p w:rsidR="00AB72BC" w:rsidRPr="006648C0" w:rsidRDefault="00AB72BC" w:rsidP="008E5907">
            <w:pPr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1</w:t>
            </w:r>
          </w:p>
        </w:tc>
      </w:tr>
      <w:tr w:rsidR="00AB72BC" w:rsidRPr="006648C0" w:rsidTr="00842E04">
        <w:tc>
          <w:tcPr>
            <w:tcW w:w="465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8" w:type="dxa"/>
            <w:vMerge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Материал косметической облицовки - </w:t>
            </w:r>
          </w:p>
        </w:tc>
        <w:tc>
          <w:tcPr>
            <w:tcW w:w="1576" w:type="dxa"/>
          </w:tcPr>
          <w:p w:rsidR="00AB72BC" w:rsidRPr="006648C0" w:rsidRDefault="00AB72BC" w:rsidP="008E5907">
            <w:pPr>
              <w:widowControl w:val="0"/>
              <w:tabs>
                <w:tab w:val="left" w:pos="9180"/>
              </w:tabs>
              <w:suppressAutoHyphens/>
              <w:ind w:right="57"/>
              <w:rPr>
                <w:sz w:val="23"/>
                <w:szCs w:val="23"/>
              </w:rPr>
            </w:pPr>
            <w:proofErr w:type="spellStart"/>
            <w:r w:rsidRPr="006648C0">
              <w:rPr>
                <w:sz w:val="23"/>
                <w:szCs w:val="23"/>
              </w:rPr>
              <w:t>Пенополиуретан</w:t>
            </w:r>
            <w:proofErr w:type="spellEnd"/>
          </w:p>
        </w:tc>
        <w:tc>
          <w:tcPr>
            <w:tcW w:w="1826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B72BC" w:rsidRPr="006648C0" w:rsidRDefault="00AB72BC" w:rsidP="008E5907">
            <w:pPr>
              <w:jc w:val="both"/>
              <w:rPr>
                <w:sz w:val="23"/>
                <w:szCs w:val="23"/>
              </w:rPr>
            </w:pPr>
          </w:p>
        </w:tc>
      </w:tr>
      <w:tr w:rsidR="00842E04" w:rsidRPr="006648C0" w:rsidTr="00842E04">
        <w:tc>
          <w:tcPr>
            <w:tcW w:w="465" w:type="dxa"/>
          </w:tcPr>
          <w:p w:rsidR="00842E04" w:rsidRPr="006648C0" w:rsidRDefault="00842E04" w:rsidP="00842E04">
            <w:pPr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628" w:type="dxa"/>
          </w:tcPr>
          <w:p w:rsidR="00842E04" w:rsidRPr="006648C0" w:rsidRDefault="00842E04" w:rsidP="00842E04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 xml:space="preserve">Протез </w:t>
            </w:r>
            <w:r>
              <w:rPr>
                <w:sz w:val="23"/>
                <w:szCs w:val="23"/>
              </w:rPr>
              <w:t>трансфеморальный</w:t>
            </w:r>
            <w:r w:rsidRPr="006648C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842E04" w:rsidRPr="006648C0" w:rsidRDefault="00842E04" w:rsidP="00842E04">
            <w:pPr>
              <w:widowControl w:val="0"/>
              <w:tabs>
                <w:tab w:val="left" w:pos="9180"/>
              </w:tabs>
              <w:suppressAutoHyphens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Протез бедра для купания</w:t>
            </w:r>
            <w:r>
              <w:rPr>
                <w:sz w:val="23"/>
                <w:szCs w:val="23"/>
              </w:rPr>
              <w:t>,</w:t>
            </w:r>
            <w:r w:rsidRPr="006648C0">
              <w:rPr>
                <w:sz w:val="23"/>
                <w:szCs w:val="23"/>
              </w:rPr>
              <w:t xml:space="preserve"> с несущей приемной гильзой индивидуального изготовления по слепку, с полимерным чехлом, с влагозащищенным гидравлическим одноосным коленным шарниром с механизмом торможения, срабатывающим при </w:t>
            </w:r>
            <w:proofErr w:type="spellStart"/>
            <w:r w:rsidRPr="006648C0">
              <w:rPr>
                <w:sz w:val="23"/>
                <w:szCs w:val="23"/>
              </w:rPr>
              <w:t>наступании</w:t>
            </w:r>
            <w:proofErr w:type="spellEnd"/>
            <w:r w:rsidRPr="006648C0">
              <w:rPr>
                <w:sz w:val="23"/>
                <w:szCs w:val="23"/>
              </w:rPr>
              <w:t xml:space="preserve"> на протез под любым углом и </w:t>
            </w:r>
            <w:proofErr w:type="spellStart"/>
            <w:r w:rsidRPr="006648C0">
              <w:rPr>
                <w:sz w:val="23"/>
                <w:szCs w:val="23"/>
              </w:rPr>
              <w:t>отключающимся</w:t>
            </w:r>
            <w:proofErr w:type="spellEnd"/>
            <w:r w:rsidRPr="006648C0">
              <w:rPr>
                <w:sz w:val="23"/>
                <w:szCs w:val="23"/>
              </w:rPr>
              <w:t xml:space="preserve"> при переходе на носок стопы, с независимым бесступенчатым </w:t>
            </w:r>
            <w:r w:rsidRPr="006648C0">
              <w:rPr>
                <w:sz w:val="23"/>
                <w:szCs w:val="23"/>
              </w:rPr>
              <w:lastRenderedPageBreak/>
              <w:t xml:space="preserve">механизмом регулирования фазы сгибания и разгибания, и с возможностью передвигаться получателю с различными скоростями ходьбы. Стопа </w:t>
            </w:r>
            <w:proofErr w:type="spellStart"/>
            <w:r w:rsidRPr="006648C0">
              <w:rPr>
                <w:sz w:val="23"/>
                <w:szCs w:val="23"/>
              </w:rPr>
              <w:t>бесшарнирная</w:t>
            </w:r>
            <w:proofErr w:type="spellEnd"/>
            <w:r w:rsidRPr="006648C0">
              <w:rPr>
                <w:sz w:val="23"/>
                <w:szCs w:val="23"/>
              </w:rPr>
              <w:t xml:space="preserve"> влагозащищенная, для получателей с высоким уровнем двигательной активности.  Полуфабрикаты и РСУ -влагозащищенный материал, на нагрузку до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6648C0">
                <w:rPr>
                  <w:sz w:val="23"/>
                  <w:szCs w:val="23"/>
                </w:rPr>
                <w:t>150 кг</w:t>
              </w:r>
            </w:smartTag>
            <w:r w:rsidRPr="006648C0">
              <w:rPr>
                <w:sz w:val="23"/>
                <w:szCs w:val="23"/>
              </w:rPr>
              <w:t>. Без косметической облицовки. Крепление замковым устройством для полимерных чехлов.</w:t>
            </w:r>
          </w:p>
        </w:tc>
        <w:tc>
          <w:tcPr>
            <w:tcW w:w="1560" w:type="dxa"/>
          </w:tcPr>
          <w:p w:rsidR="00842E04" w:rsidRPr="006648C0" w:rsidRDefault="00842E04" w:rsidP="00842E04">
            <w:pPr>
              <w:widowControl w:val="0"/>
              <w:tabs>
                <w:tab w:val="left" w:pos="9180"/>
              </w:tabs>
              <w:suppressAutoHyphens/>
              <w:jc w:val="both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lastRenderedPageBreak/>
              <w:t>Материал несущей приемной гильзы – армированный карбоном слоистый композиционный материал на основе акриловых смол</w:t>
            </w:r>
          </w:p>
        </w:tc>
        <w:tc>
          <w:tcPr>
            <w:tcW w:w="1576" w:type="dxa"/>
          </w:tcPr>
          <w:p w:rsidR="00842E04" w:rsidRPr="006648C0" w:rsidRDefault="00842E04" w:rsidP="00842E04">
            <w:pPr>
              <w:widowControl w:val="0"/>
              <w:tabs>
                <w:tab w:val="left" w:pos="9180"/>
              </w:tabs>
              <w:suppressAutoHyphens/>
              <w:ind w:left="57" w:right="57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Наличие</w:t>
            </w:r>
          </w:p>
        </w:tc>
        <w:tc>
          <w:tcPr>
            <w:tcW w:w="1826" w:type="dxa"/>
          </w:tcPr>
          <w:p w:rsidR="00842E04" w:rsidRPr="006648C0" w:rsidRDefault="00842E04" w:rsidP="00842E04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Заключение медико-технической комиссии</w:t>
            </w:r>
          </w:p>
        </w:tc>
        <w:tc>
          <w:tcPr>
            <w:tcW w:w="992" w:type="dxa"/>
          </w:tcPr>
          <w:p w:rsidR="00842E04" w:rsidRPr="006648C0" w:rsidRDefault="00842E04" w:rsidP="00842E04">
            <w:pPr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1</w:t>
            </w:r>
          </w:p>
        </w:tc>
      </w:tr>
      <w:tr w:rsidR="00AB72BC" w:rsidRPr="006648C0" w:rsidTr="00842E04">
        <w:tc>
          <w:tcPr>
            <w:tcW w:w="9039" w:type="dxa"/>
            <w:gridSpan w:val="6"/>
          </w:tcPr>
          <w:p w:rsidR="00AB72BC" w:rsidRPr="006648C0" w:rsidRDefault="00AB72BC" w:rsidP="008E5907">
            <w:pPr>
              <w:jc w:val="right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AB72BC" w:rsidRPr="006648C0" w:rsidRDefault="00AB72BC" w:rsidP="008E5907">
            <w:pPr>
              <w:jc w:val="center"/>
              <w:rPr>
                <w:sz w:val="23"/>
                <w:szCs w:val="23"/>
              </w:rPr>
            </w:pPr>
            <w:r w:rsidRPr="006648C0">
              <w:rPr>
                <w:sz w:val="23"/>
                <w:szCs w:val="23"/>
              </w:rPr>
              <w:t>6</w:t>
            </w:r>
          </w:p>
        </w:tc>
      </w:tr>
    </w:tbl>
    <w:p w:rsidR="005F57DB" w:rsidRDefault="005F57DB"/>
    <w:sectPr w:rsidR="005F57DB" w:rsidSect="00AB72BC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1E" w:rsidRDefault="00CD5F1E" w:rsidP="00AB72BC">
      <w:r>
        <w:separator/>
      </w:r>
    </w:p>
  </w:endnote>
  <w:endnote w:type="continuationSeparator" w:id="0">
    <w:p w:rsidR="00CD5F1E" w:rsidRDefault="00CD5F1E" w:rsidP="00A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1E" w:rsidRDefault="00CD5F1E" w:rsidP="00AB72BC">
      <w:r>
        <w:separator/>
      </w:r>
    </w:p>
  </w:footnote>
  <w:footnote w:type="continuationSeparator" w:id="0">
    <w:p w:rsidR="00CD5F1E" w:rsidRDefault="00CD5F1E" w:rsidP="00AB72BC">
      <w:r>
        <w:continuationSeparator/>
      </w:r>
    </w:p>
  </w:footnote>
  <w:footnote w:id="1">
    <w:p w:rsidR="00AB72BC" w:rsidRPr="004D2FEC" w:rsidRDefault="00AB72BC" w:rsidP="00AB72B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AB72BC" w:rsidRDefault="00AB72BC" w:rsidP="00AB72BC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B9"/>
    <w:rsid w:val="001162B9"/>
    <w:rsid w:val="001C1864"/>
    <w:rsid w:val="00563111"/>
    <w:rsid w:val="005F57DB"/>
    <w:rsid w:val="007C5AE7"/>
    <w:rsid w:val="00842E04"/>
    <w:rsid w:val="00AB72BC"/>
    <w:rsid w:val="00CB66FE"/>
    <w:rsid w:val="00CD5F1E"/>
    <w:rsid w:val="00D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AB72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AB7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6</cp:revision>
  <dcterms:created xsi:type="dcterms:W3CDTF">2019-02-18T07:35:00Z</dcterms:created>
  <dcterms:modified xsi:type="dcterms:W3CDTF">2019-02-26T08:47:00Z</dcterms:modified>
</cp:coreProperties>
</file>