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6" w:rsidRPr="00CA33A5" w:rsidRDefault="003B7316" w:rsidP="003B7316">
      <w:pPr>
        <w:keepNext/>
        <w:jc w:val="center"/>
        <w:rPr>
          <w:rFonts w:cs="Times New Roman"/>
          <w:b/>
          <w:lang w:val="ru-RU"/>
        </w:rPr>
      </w:pPr>
      <w:r w:rsidRPr="00CA33A5">
        <w:rPr>
          <w:rFonts w:cs="Times New Roman"/>
          <w:b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Default="003B7316" w:rsidP="00FE5E72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инвалидам и отдельным категориям граждан из числа ветеранов</w:t>
      </w:r>
      <w:r w:rsidR="00CA685E"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протезов </w:t>
      </w:r>
      <w:r w:rsidR="009821EA">
        <w:rPr>
          <w:rFonts w:cs="Times New Roman"/>
          <w:bCs/>
          <w:color w:val="auto"/>
          <w:kern w:val="3"/>
          <w:lang w:val="ru-RU" w:eastAsia="ru-RU" w:bidi="ar-SA"/>
        </w:rPr>
        <w:t>верхних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конечностей в количестве </w:t>
      </w:r>
      <w:r w:rsidR="00C11314">
        <w:rPr>
          <w:rFonts w:cs="Times New Roman"/>
          <w:bCs/>
          <w:color w:val="auto"/>
          <w:kern w:val="3"/>
          <w:lang w:val="ru-RU" w:eastAsia="ru-RU" w:bidi="ar-SA"/>
        </w:rPr>
        <w:t>42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штук.</w:t>
      </w:r>
    </w:p>
    <w:p w:rsidR="00FE5E72" w:rsidRPr="00C61371" w:rsidRDefault="00FE5E72" w:rsidP="00FE5E72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55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7107"/>
        <w:gridCol w:w="851"/>
        <w:gridCol w:w="992"/>
        <w:gridCol w:w="1120"/>
      </w:tblGrid>
      <w:tr w:rsidR="00DF4ED5" w:rsidRPr="00C61371" w:rsidTr="0024024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DF4ED5" w:rsidP="00A85C2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A85C2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A85C2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A85C2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r w:rsidR="00E001AE"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руб.</w:t>
            </w:r>
          </w:p>
        </w:tc>
      </w:tr>
      <w:tr w:rsidR="00697FAB" w:rsidRPr="00621236" w:rsidTr="0024024F">
        <w:trPr>
          <w:trHeight w:val="129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FAB" w:rsidRDefault="00697FAB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</w:t>
            </w:r>
          </w:p>
          <w:p w:rsidR="00697FAB" w:rsidRDefault="00697FAB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  <w:p w:rsidR="00697FAB" w:rsidRPr="00C61371" w:rsidRDefault="00697FAB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FAB" w:rsidRPr="00D21854" w:rsidRDefault="00621236" w:rsidP="00213CF3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>Протез при вычленении кисти косметический взрослый; кисть- косметическая силиконовая с нейлоновой армирующей сеткой; дополнительное РСУ отсутствует; приспособление отсутствует; оболочка косметическая отсутствует; тип крепления - подгоночное или индивидуальное.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97FAB" w:rsidRPr="00621236" w:rsidRDefault="00E20C4F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FAB" w:rsidRPr="00621236" w:rsidRDefault="00697FAB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FAB" w:rsidRPr="00621236" w:rsidRDefault="00697FAB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E20C4F" w:rsidRPr="009466DA" w:rsidTr="0024024F">
        <w:trPr>
          <w:trHeight w:val="18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C4F" w:rsidRDefault="00D21854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0C4F" w:rsidRPr="00D21854" w:rsidRDefault="00A306BC" w:rsidP="00621236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 xml:space="preserve">Протез кисти косметический. Предназначен для протезирования инвалидов с односторонней или двухсторонней ампутацией кисти, управление сохранившейся рукой или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противоупором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. Кисть косметическая </w:t>
            </w:r>
            <w:r w:rsidR="001E79E7" w:rsidRPr="00D21854">
              <w:rPr>
                <w:rFonts w:ascii="Times New Roman" w:hAnsi="Times New Roman" w:cs="Times New Roman"/>
                <w:lang w:eastAsia="fa-IR"/>
              </w:rPr>
              <w:t>силиконовая с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нейлоновой армирующей сеткой, улучшенной конструкции, с детализированными папиллярными линиями, венами и суставами пальцев кисти, со специальным скользящим покрытием, снижающим трение косметической оболочки. Назначение протеза постоянный.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20C4F" w:rsidRDefault="00E20C4F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F" w:rsidRPr="00621236" w:rsidRDefault="00E20C4F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F" w:rsidRPr="00621236" w:rsidRDefault="00E20C4F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005C28" w:rsidRPr="009466DA" w:rsidTr="0024024F">
        <w:trPr>
          <w:trHeight w:val="18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C28" w:rsidRDefault="00E20C4F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C28" w:rsidRPr="00D21854" w:rsidRDefault="009466DA" w:rsidP="00621236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 xml:space="preserve">Протез предплечья функционально-косметический, управление сохранившейся рукой или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противоупором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>. Приемная гильз</w:t>
            </w:r>
            <w:r w:rsidR="003D4F0A" w:rsidRPr="00D21854">
              <w:rPr>
                <w:rFonts w:ascii="Times New Roman" w:hAnsi="Times New Roman" w:cs="Times New Roman"/>
                <w:lang w:eastAsia="fa-IR"/>
              </w:rPr>
              <w:t>а индивидуальная, изготовленная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по слепку с культи инвалида. Материал приемной гильзы: литьевой слоистый пластик на основе акриловых смол или листовой термопласт. Косметическая облицовка мягкая полиуретановая (листовой поролон), </w:t>
            </w:r>
            <w:r w:rsidR="001E79E7" w:rsidRPr="00D21854">
              <w:rPr>
                <w:rFonts w:ascii="Times New Roman" w:hAnsi="Times New Roman" w:cs="Times New Roman"/>
                <w:lang w:eastAsia="fa-IR"/>
              </w:rPr>
              <w:t>косметическая оболочка</w:t>
            </w:r>
            <w:r w:rsidR="003D4F0A" w:rsidRPr="00D21854">
              <w:rPr>
                <w:rFonts w:ascii="Times New Roman" w:hAnsi="Times New Roman" w:cs="Times New Roman"/>
                <w:lang w:eastAsia="fa-IR"/>
              </w:rPr>
              <w:t xml:space="preserve"> </w:t>
            </w:r>
            <w:proofErr w:type="spellStart"/>
            <w:r w:rsidR="003D4F0A" w:rsidRPr="00D21854">
              <w:rPr>
                <w:rFonts w:ascii="Times New Roman" w:hAnsi="Times New Roman" w:cs="Times New Roman"/>
                <w:lang w:eastAsia="fa-IR"/>
              </w:rPr>
              <w:t>перлоновая</w:t>
            </w:r>
            <w:proofErr w:type="spellEnd"/>
            <w:r w:rsidR="003D4F0A" w:rsidRPr="00D21854">
              <w:rPr>
                <w:rFonts w:ascii="Times New Roman" w:hAnsi="Times New Roman" w:cs="Times New Roman"/>
                <w:lang w:eastAsia="fa-IR"/>
              </w:rPr>
              <w:t>.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Кисть косметическая силиконовая с нейлоновой армирующей сеткой, с адаптером М12х1,</w:t>
            </w:r>
            <w:r w:rsidR="001E79E7" w:rsidRPr="00D21854">
              <w:rPr>
                <w:rFonts w:ascii="Times New Roman" w:hAnsi="Times New Roman" w:cs="Times New Roman"/>
                <w:lang w:eastAsia="fa-IR"/>
              </w:rPr>
              <w:t>5, функция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ротации реализована в составе модул</w:t>
            </w:r>
            <w:r w:rsidR="003D4F0A" w:rsidRPr="00D21854">
              <w:rPr>
                <w:rFonts w:ascii="Times New Roman" w:hAnsi="Times New Roman" w:cs="Times New Roman"/>
                <w:lang w:eastAsia="fa-IR"/>
              </w:rPr>
              <w:t>я кисти,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ротатор кистевой с адаптером для присоединения кистей косметических; крепление -  индивидуальное.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05C28" w:rsidRPr="00621236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C28" w:rsidRPr="00621236" w:rsidRDefault="00005C28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C28" w:rsidRPr="00621236" w:rsidRDefault="00005C28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E20C4F" w:rsidRPr="00A306BC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0C4F" w:rsidRDefault="00E20C4F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0C4F" w:rsidRDefault="00A306BC" w:rsidP="00621236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>
              <w:rPr>
                <w:rFonts w:ascii="Times New Roman" w:hAnsi="Times New Roman" w:cs="Times New Roman"/>
                <w:lang w:eastAsia="fa-IR"/>
              </w:rPr>
              <w:t xml:space="preserve">Протез предплечья косметический. Предназначен для протезирования инвалидов с односторонней или двухсторонней ампутацией предплечья, управление сохранившейся рукой или </w:t>
            </w:r>
            <w:proofErr w:type="spellStart"/>
            <w:r>
              <w:rPr>
                <w:rFonts w:ascii="Times New Roman" w:hAnsi="Times New Roman" w:cs="Times New Roman"/>
                <w:lang w:eastAsia="fa-IR"/>
              </w:rPr>
              <w:t>противоупором</w:t>
            </w:r>
            <w:proofErr w:type="spellEnd"/>
            <w:r>
              <w:rPr>
                <w:rFonts w:ascii="Times New Roman" w:hAnsi="Times New Roman" w:cs="Times New Roman"/>
                <w:lang w:eastAsia="fa-IR"/>
              </w:rPr>
              <w:t>. Кисть косметическая силиконовая с нейлоновой армирующей сеткой, улучшенной конструкции, с детализирова</w:t>
            </w:r>
            <w:r w:rsidR="00D21854">
              <w:rPr>
                <w:rFonts w:ascii="Times New Roman" w:hAnsi="Times New Roman" w:cs="Times New Roman"/>
                <w:lang w:eastAsia="fa-IR"/>
              </w:rPr>
              <w:t>нными папиллярными линиями, венами и суставами пальцев кисти, со специальным скользящим покрытием, снижающим трение косметической оболочки, резьбовой адаптер М12х1.5. Приспособления отсутствуют, функция ротации реализована в составе модуля кисти, ротатор кистевой с адаптером для присоединения кистей косметических. Приемная гильза протеза из слоистого пластика на основе акриловых смол, двухсоставная (одна пробная гильза из термопластика), изготовленная по индивидуальному слепку с кисти инвалида, крепление индивидуальное. Назначение протеза: постоянный.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20C4F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F" w:rsidRPr="00621236" w:rsidRDefault="00E20C4F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F" w:rsidRPr="00621236" w:rsidRDefault="00E20C4F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697FAB" w:rsidRPr="003D4F0A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FAB" w:rsidRDefault="00E20C4F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5</w:t>
            </w:r>
          </w:p>
          <w:p w:rsidR="00697FAB" w:rsidRPr="00C61371" w:rsidRDefault="00697FAB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FAB" w:rsidRPr="00D21854" w:rsidRDefault="00213CF3" w:rsidP="00621236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>Протез предплечья</w:t>
            </w:r>
            <w:r w:rsidR="00072519" w:rsidRPr="00D21854">
              <w:rPr>
                <w:rFonts w:ascii="Times New Roman" w:hAnsi="Times New Roman" w:cs="Times New Roman"/>
                <w:lang w:eastAsia="fa-IR"/>
              </w:rPr>
              <w:t xml:space="preserve"> рабочий, комбинированный; взрослый. Управление сохранившейся рукой или </w:t>
            </w:r>
            <w:proofErr w:type="spellStart"/>
            <w:r w:rsidR="00072519" w:rsidRPr="00D21854">
              <w:rPr>
                <w:rFonts w:ascii="Times New Roman" w:hAnsi="Times New Roman" w:cs="Times New Roman"/>
                <w:lang w:eastAsia="fa-IR"/>
              </w:rPr>
              <w:t>противоупором</w:t>
            </w:r>
            <w:proofErr w:type="spellEnd"/>
            <w:r w:rsidR="00072519" w:rsidRPr="00D21854">
              <w:rPr>
                <w:rFonts w:ascii="Times New Roman" w:hAnsi="Times New Roman" w:cs="Times New Roman"/>
                <w:lang w:eastAsia="fa-IR"/>
              </w:rPr>
              <w:t xml:space="preserve">. Адаптер для присоединения рабочих насадок с цилиндрическим хвостовиком диаметром 10 мм. Комплект рабочих насадок (не более трех). Приемная гильза индивидуальная, изготовленная по слепку с культи инвалида. Материал приемной </w:t>
            </w:r>
            <w:r w:rsidR="00517D39" w:rsidRPr="00D21854">
              <w:rPr>
                <w:rFonts w:ascii="Times New Roman" w:hAnsi="Times New Roman" w:cs="Times New Roman"/>
                <w:lang w:eastAsia="fa-IR"/>
              </w:rPr>
              <w:t>гильзы: литьевой</w:t>
            </w:r>
            <w:r w:rsidR="00072519" w:rsidRPr="00D21854">
              <w:rPr>
                <w:rFonts w:ascii="Times New Roman" w:hAnsi="Times New Roman" w:cs="Times New Roman"/>
                <w:lang w:eastAsia="fa-IR"/>
              </w:rPr>
              <w:t xml:space="preserve"> слоистый пластик на основе акриловых смол </w:t>
            </w:r>
            <w:r w:rsidR="00517D39" w:rsidRPr="00D21854">
              <w:rPr>
                <w:rFonts w:ascii="Times New Roman" w:hAnsi="Times New Roman" w:cs="Times New Roman"/>
                <w:lang w:eastAsia="fa-IR"/>
              </w:rPr>
              <w:t>или листовой термопласт,</w:t>
            </w:r>
            <w:r w:rsidR="00072519" w:rsidRPr="00D21854">
              <w:rPr>
                <w:rFonts w:ascii="Times New Roman" w:hAnsi="Times New Roman" w:cs="Times New Roman"/>
                <w:lang w:eastAsia="fa-IR"/>
              </w:rPr>
              <w:t xml:space="preserve"> или кожа. Крепление при помощи кожаной манжетки с шинами на плечо или при помощи кожаных полуфабрикатов.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97FAB" w:rsidRPr="00621236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FAB" w:rsidRPr="00621236" w:rsidRDefault="00697FAB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7FAB" w:rsidRPr="00621236" w:rsidRDefault="00697FAB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A85C25" w:rsidRPr="003D4F0A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5C25" w:rsidRPr="00C61371" w:rsidRDefault="00E20C4F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5C25" w:rsidRPr="00D21854" w:rsidRDefault="002C768A" w:rsidP="00621236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 xml:space="preserve">Протез предплечья активный, взрослый, механический (тяговый). Кисть с гибкой тягой каркасная с пружинным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схватом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 и пассивным узлом </w:t>
            </w:r>
            <w:r w:rsidR="00517D39" w:rsidRPr="00D21854">
              <w:rPr>
                <w:rFonts w:ascii="Times New Roman" w:hAnsi="Times New Roman" w:cs="Times New Roman"/>
                <w:lang w:eastAsia="fa-IR"/>
              </w:rPr>
              <w:t>ротации; функция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ротации реализована в составе модуля кисти; приспособления отсутствуют; оболочка косметическая: ПХВ/пластизоль без покрытия или силиконовая. Косметическая облицовка мягкая полиуретановая (листовой поролон), </w:t>
            </w:r>
            <w:r w:rsidR="00517D39" w:rsidRPr="00D21854">
              <w:rPr>
                <w:rFonts w:ascii="Times New Roman" w:hAnsi="Times New Roman" w:cs="Times New Roman"/>
                <w:lang w:eastAsia="fa-IR"/>
              </w:rPr>
              <w:t>косметическая оболочка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перлоновая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>. Гильза индивидуальная одинарная или гильза индивидуальная составная, геометрическая копия сохранившейся руки; из литьевого слоистого пластика на основе связующих смол или из листового термопласта; крепление индивидуальное.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85C25" w:rsidRPr="00621236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C25" w:rsidRPr="00621236" w:rsidRDefault="00A85C25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C25" w:rsidRPr="00621236" w:rsidRDefault="00A85C25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0F663A" w:rsidRPr="003D4F0A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63A" w:rsidRPr="00C61371" w:rsidRDefault="00E20C4F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663A" w:rsidRPr="00D21854" w:rsidRDefault="00B86E74" w:rsidP="00621236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 xml:space="preserve">Протез плеча активный (тяговый) взрослый. Кисть с гибкой тягой корпусная с пружинным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схватом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, пассивной ротацией с бесступенчатой регулируемой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тугоподвижн</w:t>
            </w:r>
            <w:r w:rsidR="00A22166" w:rsidRPr="00D21854">
              <w:rPr>
                <w:rFonts w:ascii="Times New Roman" w:hAnsi="Times New Roman" w:cs="Times New Roman"/>
                <w:lang w:eastAsia="fa-IR"/>
              </w:rPr>
              <w:t>остью</w:t>
            </w:r>
            <w:proofErr w:type="spellEnd"/>
            <w:r w:rsidR="00A22166" w:rsidRPr="00D21854">
              <w:rPr>
                <w:rFonts w:ascii="Times New Roman" w:hAnsi="Times New Roman" w:cs="Times New Roman"/>
                <w:lang w:eastAsia="fa-IR"/>
              </w:rPr>
              <w:t>;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узел локоть-предплечье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экзоскелетного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 типа активный со ступенчатой фиксацией, с пассивной ротацией плеча; функция ротации реализована в составе модуля кисти; приспособления отсутствуют; оболочка косметическая силиконовая или оболочка косметическая </w:t>
            </w:r>
            <w:r w:rsidR="00A22166" w:rsidRPr="00D21854">
              <w:rPr>
                <w:rFonts w:ascii="Times New Roman" w:hAnsi="Times New Roman" w:cs="Times New Roman"/>
                <w:lang w:eastAsia="fa-IR"/>
              </w:rPr>
              <w:t>ПВХ/пластизоль без покрытия.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Приемная гильза индивидуальная, изготовленная по слепку с культи инва</w:t>
            </w:r>
            <w:r w:rsidR="00A22166" w:rsidRPr="00D21854">
              <w:rPr>
                <w:rFonts w:ascii="Times New Roman" w:hAnsi="Times New Roman" w:cs="Times New Roman"/>
                <w:lang w:eastAsia="fa-IR"/>
              </w:rPr>
              <w:t>лида. Материал приемной гильзы: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литьевой слоистый пластик на основе акриловых смол </w:t>
            </w:r>
            <w:r w:rsidR="00517D39" w:rsidRPr="00D21854">
              <w:rPr>
                <w:rFonts w:ascii="Times New Roman" w:hAnsi="Times New Roman" w:cs="Times New Roman"/>
                <w:lang w:eastAsia="fa-IR"/>
              </w:rPr>
              <w:t>или листовой</w:t>
            </w:r>
            <w:r w:rsidR="00330903" w:rsidRPr="00D21854">
              <w:rPr>
                <w:rFonts w:ascii="Times New Roman" w:hAnsi="Times New Roman" w:cs="Times New Roman"/>
                <w:lang w:eastAsia="fa-IR"/>
              </w:rPr>
              <w:t xml:space="preserve"> термопласт. Крепление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индивидуальное.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F663A" w:rsidRPr="00621236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63A" w:rsidRPr="00621236" w:rsidRDefault="000F663A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63A" w:rsidRPr="00621236" w:rsidRDefault="000F663A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005C28" w:rsidRPr="003D4F0A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C28" w:rsidRPr="00C61371" w:rsidRDefault="00E20C4F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C28" w:rsidRPr="00D21854" w:rsidRDefault="00B53376" w:rsidP="00621236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 xml:space="preserve">Протез плеча функционально-косметический, косметический, взрослый.  Управление сохранившейся рукой или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противоупором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. Кисть косметическая силиконовая с нейлоновой армирующей сеткой. Узел локоть-предплечье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эндоскелетного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 типа пассивный с бесступенчатой фиксацией и пассивной ротацией плеча/</w:t>
            </w:r>
            <w:r w:rsidR="00517D39" w:rsidRPr="00D21854">
              <w:rPr>
                <w:rFonts w:ascii="Times New Roman" w:hAnsi="Times New Roman" w:cs="Times New Roman"/>
                <w:lang w:eastAsia="fa-IR"/>
              </w:rPr>
              <w:t>предплечья, ротатор</w:t>
            </w:r>
            <w:r w:rsidRPr="00D21854">
              <w:rPr>
                <w:rFonts w:ascii="Times New Roman" w:hAnsi="Times New Roman" w:cs="Times New Roman"/>
                <w:lang w:eastAsia="fa-IR"/>
              </w:rPr>
              <w:t xml:space="preserve"> кистевой с адаптером, для присоединения кистей косметических; функция ротации реализована в составе модуля кисти.  Приемная гильза индивидуальная, изготовленная по слепку с культи инвалида. Материал приемной гильзы: литьевой слоистый пластик на основе акриловых смол или листовой термопласт. Крепление индивидуальное.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05C28" w:rsidRPr="00621236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C28" w:rsidRPr="00621236" w:rsidRDefault="00005C28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C28" w:rsidRPr="00621236" w:rsidRDefault="00005C28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3C6F4E" w:rsidRPr="003D4F0A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6F4E" w:rsidRPr="00C61371" w:rsidRDefault="00E20C4F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6F4E" w:rsidRPr="00D21854" w:rsidRDefault="00D03EC7" w:rsidP="00D03EC7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D21854">
              <w:rPr>
                <w:rFonts w:ascii="Times New Roman" w:hAnsi="Times New Roman" w:cs="Times New Roman"/>
                <w:lang w:eastAsia="fa-IR"/>
              </w:rPr>
              <w:t xml:space="preserve">Протез плеча рабочий, взрослый. Система управления сохранившейся рукой или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противоупором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; узел локоть-предплечье </w:t>
            </w:r>
            <w:proofErr w:type="spellStart"/>
            <w:r w:rsidRPr="00D21854">
              <w:rPr>
                <w:rFonts w:ascii="Times New Roman" w:hAnsi="Times New Roman" w:cs="Times New Roman"/>
                <w:lang w:eastAsia="fa-IR"/>
              </w:rPr>
              <w:t>экзоскелетного</w:t>
            </w:r>
            <w:proofErr w:type="spellEnd"/>
            <w:r w:rsidRPr="00D21854">
              <w:rPr>
                <w:rFonts w:ascii="Times New Roman" w:hAnsi="Times New Roman" w:cs="Times New Roman"/>
                <w:lang w:eastAsia="fa-IR"/>
              </w:rPr>
              <w:t xml:space="preserve"> типа, пассивный с бесступенчатой фиксацией и пассивной ротацией плеча; ротатор кистевой с адаптером для присоединения рабочих насадок, с цилиндрическим хвостовиком диаметром 10 мм; дополнительное РСУ отсутствует; комплект рабочих насадок (не более трех); облицовка косметическая отсутствует. Приемная гильза индивидуальная, изготовленная по слепку с культи инвалида. Материал приемной гильзы: литьевой слоистый пластик на основе акриловых смол или листовой термопласт. Крепление индивидуальное.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C6F4E" w:rsidRPr="00621236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6F4E" w:rsidRPr="00621236" w:rsidRDefault="003C6F4E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6F4E" w:rsidRPr="00621236" w:rsidRDefault="003C6F4E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043CB7" w:rsidRPr="00043CB7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CB7" w:rsidRDefault="00043CB7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3CB7" w:rsidRPr="00B12AD3" w:rsidRDefault="00043CB7" w:rsidP="00D03EC7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B12AD3">
              <w:rPr>
                <w:rFonts w:ascii="Times New Roman" w:eastAsia="Arial" w:hAnsi="Times New Roman" w:cs="Times New Roman"/>
                <w:lang w:eastAsia="fa-IR"/>
              </w:rPr>
              <w:t xml:space="preserve">Протез предплечья активный детский. Протез предназначен для компенсации врожденных и ампутационных дефектов предплечья. Управление протезом (выполнение </w:t>
            </w:r>
            <w:proofErr w:type="spellStart"/>
            <w:r w:rsidRPr="00B12AD3">
              <w:rPr>
                <w:rFonts w:ascii="Times New Roman" w:eastAsia="Arial" w:hAnsi="Times New Roman" w:cs="Times New Roman"/>
                <w:lang w:eastAsia="fa-IR"/>
              </w:rPr>
              <w:t>схвата</w:t>
            </w:r>
            <w:proofErr w:type="spellEnd"/>
            <w:r w:rsidRPr="00B12AD3">
              <w:rPr>
                <w:rFonts w:ascii="Times New Roman" w:eastAsia="Arial" w:hAnsi="Times New Roman" w:cs="Times New Roman"/>
                <w:lang w:eastAsia="fa-IR"/>
              </w:rPr>
              <w:t xml:space="preserve">) обеспечивается движениями в локтевом суставе, которое вызывает натяжение тяговых тросов. Протез состоит из двух приемных гильз, связанных шарниром на уровне локтевого сустава.  </w:t>
            </w:r>
            <w:proofErr w:type="spellStart"/>
            <w:r w:rsidRPr="00B12AD3">
              <w:rPr>
                <w:rFonts w:ascii="Times New Roman" w:eastAsia="Arial" w:hAnsi="Times New Roman" w:cs="Times New Roman"/>
                <w:lang w:eastAsia="fa-IR"/>
              </w:rPr>
              <w:t>Схват</w:t>
            </w:r>
            <w:proofErr w:type="spellEnd"/>
            <w:r w:rsidRPr="00B12AD3">
              <w:rPr>
                <w:rFonts w:ascii="Times New Roman" w:eastAsia="Arial" w:hAnsi="Times New Roman" w:cs="Times New Roman"/>
                <w:lang w:eastAsia="fa-IR"/>
              </w:rPr>
              <w:t xml:space="preserve"> активный, </w:t>
            </w:r>
            <w:proofErr w:type="spellStart"/>
            <w:r w:rsidRPr="00B12AD3">
              <w:rPr>
                <w:rFonts w:ascii="Times New Roman" w:eastAsia="Arial" w:hAnsi="Times New Roman" w:cs="Times New Roman"/>
                <w:lang w:eastAsia="fa-IR"/>
              </w:rPr>
              <w:t>разжатие</w:t>
            </w:r>
            <w:proofErr w:type="spellEnd"/>
            <w:r w:rsidRPr="00B12AD3">
              <w:rPr>
                <w:rFonts w:ascii="Times New Roman" w:eastAsia="Arial" w:hAnsi="Times New Roman" w:cs="Times New Roman"/>
                <w:lang w:eastAsia="fa-IR"/>
              </w:rPr>
              <w:t xml:space="preserve"> пальцев протеза происходит за счет пружин. Протез имеет пассивную ротацию кости в лучезапястном суставе. Внутренняя гильза изготавливается по слепку, путем </w:t>
            </w:r>
            <w:proofErr w:type="spellStart"/>
            <w:r w:rsidRPr="00B12AD3">
              <w:rPr>
                <w:rFonts w:ascii="Times New Roman" w:eastAsia="Arial" w:hAnsi="Times New Roman" w:cs="Times New Roman"/>
                <w:lang w:eastAsia="fa-IR"/>
              </w:rPr>
              <w:t>ламинирования</w:t>
            </w:r>
            <w:proofErr w:type="spellEnd"/>
            <w:r w:rsidRPr="00B12AD3">
              <w:rPr>
                <w:rFonts w:ascii="Times New Roman" w:eastAsia="Arial" w:hAnsi="Times New Roman" w:cs="Times New Roman"/>
                <w:lang w:eastAsia="fa-IR"/>
              </w:rPr>
              <w:t xml:space="preserve"> или из термопластика, непосредственно по культе. Несущая гильза изготавливается по технологиям трехмерной печати. Протез имеет возможность фиксации </w:t>
            </w:r>
            <w:proofErr w:type="spellStart"/>
            <w:r w:rsidRPr="00B12AD3">
              <w:rPr>
                <w:rFonts w:ascii="Times New Roman" w:eastAsia="Arial" w:hAnsi="Times New Roman" w:cs="Times New Roman"/>
                <w:lang w:eastAsia="fa-IR"/>
              </w:rPr>
              <w:t>схвата</w:t>
            </w:r>
            <w:proofErr w:type="spellEnd"/>
            <w:r w:rsidRPr="00B12AD3">
              <w:rPr>
                <w:rFonts w:ascii="Times New Roman" w:eastAsia="Arial" w:hAnsi="Times New Roman" w:cs="Times New Roman"/>
                <w:lang w:eastAsia="fa-IR"/>
              </w:rPr>
              <w:t xml:space="preserve"> в закрытом состоянии. Материал постоянной приемной индивидуальной составной гильзы: листовой термопласт/силикон/</w:t>
            </w:r>
            <w:proofErr w:type="spellStart"/>
            <w:r w:rsidRPr="00B12AD3">
              <w:rPr>
                <w:rFonts w:ascii="Times New Roman" w:eastAsia="Arial" w:hAnsi="Times New Roman" w:cs="Times New Roman"/>
                <w:lang w:eastAsia="fa-IR"/>
              </w:rPr>
              <w:t>ламинат</w:t>
            </w:r>
            <w:proofErr w:type="spellEnd"/>
            <w:r w:rsidRPr="00B12AD3">
              <w:rPr>
                <w:rFonts w:ascii="Times New Roman" w:eastAsia="Arial" w:hAnsi="Times New Roman" w:cs="Times New Roman"/>
                <w:lang w:eastAsia="fa-IR"/>
              </w:rPr>
              <w:t>. Материал модуля предплечья: полиамид. Материал наконечников пальцев: силикон.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43CB7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CB7" w:rsidRPr="00621236" w:rsidRDefault="00043CB7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CB7" w:rsidRPr="00621236" w:rsidRDefault="00043CB7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043CB7" w:rsidRPr="00043CB7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CB7" w:rsidRDefault="00043CB7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3CB7" w:rsidRPr="00B12AD3" w:rsidRDefault="00C11314" w:rsidP="00D03EC7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 w:rsidRPr="00B12AD3">
              <w:rPr>
                <w:rFonts w:ascii="Times New Roman" w:hAnsi="Times New Roman" w:cs="Times New Roman"/>
                <w:lang w:eastAsia="fa-IR"/>
              </w:rPr>
              <w:t xml:space="preserve">Протез при вычленении кисти активный. Предназначен для компенсации врожденных и ампутационных дефектов кисти, при сохранении лучезапястного сустава. Состоит из двух частей – каркасные активные элементы и приемная гильза по слепку с культи инвалида из </w:t>
            </w:r>
            <w:proofErr w:type="spellStart"/>
            <w:r w:rsidRPr="00B12AD3">
              <w:rPr>
                <w:rFonts w:ascii="Times New Roman" w:hAnsi="Times New Roman" w:cs="Times New Roman"/>
                <w:lang w:eastAsia="fa-IR"/>
              </w:rPr>
              <w:t>ортокрила</w:t>
            </w:r>
            <w:proofErr w:type="spellEnd"/>
            <w:r w:rsidRPr="00B12AD3">
              <w:rPr>
                <w:rFonts w:ascii="Times New Roman" w:hAnsi="Times New Roman" w:cs="Times New Roman"/>
                <w:lang w:eastAsia="fa-IR"/>
              </w:rPr>
              <w:t xml:space="preserve"> на основе акриловых смол или термопласта. Имеет две шарнирно-соединенные части: одна с фиксацией на предплечье, вторая плотно облегает культю кисти. Функция </w:t>
            </w:r>
            <w:proofErr w:type="spellStart"/>
            <w:r w:rsidRPr="00B12AD3">
              <w:rPr>
                <w:rFonts w:ascii="Times New Roman" w:hAnsi="Times New Roman" w:cs="Times New Roman"/>
                <w:lang w:eastAsia="fa-IR"/>
              </w:rPr>
              <w:t>схвата</w:t>
            </w:r>
            <w:proofErr w:type="spellEnd"/>
            <w:r w:rsidRPr="00B12AD3">
              <w:rPr>
                <w:rFonts w:ascii="Times New Roman" w:hAnsi="Times New Roman" w:cs="Times New Roman"/>
                <w:lang w:eastAsia="fa-IR"/>
              </w:rPr>
              <w:t xml:space="preserve"> осуществляется за счет движений в лучезапястном суставе. Протез позволяет выполнять приведение и отведение кисти, имеет возможность фиксации </w:t>
            </w:r>
            <w:proofErr w:type="spellStart"/>
            <w:r w:rsidRPr="00B12AD3">
              <w:rPr>
                <w:rFonts w:ascii="Times New Roman" w:hAnsi="Times New Roman" w:cs="Times New Roman"/>
                <w:lang w:eastAsia="fa-IR"/>
              </w:rPr>
              <w:t>схвата</w:t>
            </w:r>
            <w:proofErr w:type="spellEnd"/>
            <w:r w:rsidRPr="00B12AD3">
              <w:rPr>
                <w:rFonts w:ascii="Times New Roman" w:hAnsi="Times New Roman" w:cs="Times New Roman"/>
                <w:lang w:eastAsia="fa-IR"/>
              </w:rPr>
              <w:t xml:space="preserve"> в закрытом состоянии.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43CB7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CB7" w:rsidRPr="00621236" w:rsidRDefault="00043CB7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CB7" w:rsidRPr="00621236" w:rsidRDefault="00043CB7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043CB7" w:rsidRPr="00043CB7" w:rsidTr="0024024F">
        <w:trPr>
          <w:trHeight w:val="21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CB7" w:rsidRDefault="00043CB7" w:rsidP="009821EA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3CB7" w:rsidRPr="00D21854" w:rsidRDefault="00C11314" w:rsidP="00C11314">
            <w:pPr>
              <w:pStyle w:val="Standard"/>
              <w:widowControl/>
              <w:suppressLineNumber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lang w:eastAsia="fa-IR"/>
              </w:rPr>
            </w:pPr>
            <w:r>
              <w:rPr>
                <w:rFonts w:ascii="Times New Roman" w:hAnsi="Times New Roman" w:cs="Times New Roman"/>
                <w:lang w:eastAsia="fa-IR"/>
              </w:rPr>
              <w:t>Кисть косметическая силиконовая с нейлоновой армирующей сеткой, улучшенной конструкции, с акриловыми ногтевыми пластинами и специальным скользящим покрытием, снижающим трение косметической оболочки, резьбовой адаптер М12х1.5. Приспособления отсутствует, функция ротации реализована в составе модуля кисти, ротатор кистевой с адаптером для присоединения кистей косметических. Приемная гильза протеза из слоистого пластика на основе акриловых смол, двухсоставная (одна пробная гильза из термопласта), изготовленная по индивидуальному слепку с культи инвалида (допускается, применение внутренней гильзы из силикона индивидуального изготовления), крепление индивидуальное. Назначение протеза: постоянный.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43CB7" w:rsidRDefault="00C11314" w:rsidP="00621236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CB7" w:rsidRPr="00621236" w:rsidRDefault="00043CB7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CB7" w:rsidRPr="00621236" w:rsidRDefault="00043CB7" w:rsidP="0062123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b/>
                <w:kern w:val="3"/>
                <w:lang w:val="ru-RU" w:eastAsia="ru-RU" w:bidi="ar-SA"/>
              </w:rPr>
            </w:pPr>
          </w:p>
        </w:tc>
      </w:tr>
      <w:tr w:rsidR="00773501" w:rsidRPr="00043CB7" w:rsidTr="0024024F">
        <w:trPr>
          <w:trHeight w:val="169"/>
        </w:trPr>
        <w:tc>
          <w:tcPr>
            <w:tcW w:w="76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3501" w:rsidRPr="00C61371" w:rsidRDefault="00773501" w:rsidP="00773501">
            <w:pPr>
              <w:widowControl w:val="0"/>
              <w:suppressLineNumbers/>
              <w:autoSpaceDN w:val="0"/>
              <w:snapToGrid w:val="0"/>
              <w:jc w:val="right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</w:t>
            </w: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501" w:rsidRPr="00C61371" w:rsidRDefault="00C11314" w:rsidP="00C6137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42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501" w:rsidRPr="00C61371" w:rsidRDefault="00773501" w:rsidP="00C6137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</w:tr>
    </w:tbl>
    <w:p w:rsidR="003B7316" w:rsidRPr="007815D8" w:rsidRDefault="003B7316" w:rsidP="007633E6">
      <w:pPr>
        <w:widowControl w:val="0"/>
        <w:autoSpaceDN w:val="0"/>
        <w:ind w:firstLine="709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815D8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Работы по изготовлению инвалидам и отдельным категориям граждан из числа ветеранов протезов </w:t>
      </w:r>
      <w:r w:rsidR="009821EA">
        <w:rPr>
          <w:rFonts w:eastAsia="Arial" w:cs="Times New Roman"/>
          <w:color w:val="auto"/>
          <w:kern w:val="3"/>
          <w:lang w:val="ru-RU" w:eastAsia="zh-CN" w:bidi="ar-SA"/>
        </w:rPr>
        <w:t>верхних</w:t>
      </w:r>
      <w:r w:rsidR="00523985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протезов) предусматривает индивидуальное изготовление, обучение пользованию и их выдачу.</w:t>
      </w:r>
    </w:p>
    <w:p w:rsidR="00AE29EC" w:rsidRPr="00A05DBF" w:rsidRDefault="003B7316" w:rsidP="00A05DBF">
      <w:pPr>
        <w:pStyle w:val="1"/>
        <w:ind w:firstLine="709"/>
        <w:jc w:val="both"/>
        <w:rPr>
          <w:rFonts w:eastAsia="Arial"/>
          <w:b w:val="0"/>
          <w:kern w:val="3"/>
          <w:sz w:val="24"/>
          <w:szCs w:val="24"/>
          <w:lang w:eastAsia="zh-CN"/>
        </w:rPr>
      </w:pPr>
      <w:r w:rsidRPr="00D1568B">
        <w:rPr>
          <w:rFonts w:eastAsia="Arial"/>
          <w:b w:val="0"/>
          <w:kern w:val="3"/>
          <w:sz w:val="24"/>
          <w:szCs w:val="24"/>
          <w:lang w:eastAsia="zh-CN"/>
        </w:rPr>
        <w:t xml:space="preserve">Протезы должны быть классифицированы в соответствии с требованиями Национального стандарта Российской Федерации </w:t>
      </w:r>
      <w:r w:rsidR="00D1568B" w:rsidRPr="00D1568B">
        <w:rPr>
          <w:rFonts w:eastAsia="Arial"/>
          <w:b w:val="0"/>
          <w:kern w:val="3"/>
          <w:sz w:val="24"/>
          <w:szCs w:val="24"/>
          <w:lang w:eastAsia="zh-CN"/>
        </w:rPr>
        <w:t>ГОСТ Р ИСО 22523-2007</w:t>
      </w:r>
      <w:r w:rsidR="004B76F1" w:rsidRPr="00D1568B">
        <w:rPr>
          <w:rFonts w:eastAsia="Arial"/>
          <w:b w:val="0"/>
          <w:kern w:val="3"/>
          <w:sz w:val="24"/>
          <w:szCs w:val="24"/>
          <w:lang w:eastAsia="zh-CN"/>
        </w:rPr>
        <w:t xml:space="preserve"> </w:t>
      </w:r>
      <w:r w:rsidR="00AE29EC" w:rsidRPr="00D1568B">
        <w:rPr>
          <w:rFonts w:eastAsia="Arial"/>
          <w:b w:val="0"/>
          <w:kern w:val="3"/>
          <w:sz w:val="24"/>
          <w:szCs w:val="24"/>
          <w:lang w:eastAsia="zh-CN"/>
        </w:rPr>
        <w:t>«</w:t>
      </w:r>
      <w:r w:rsidR="004B76F1" w:rsidRPr="00D1568B">
        <w:rPr>
          <w:rFonts w:eastAsia="Arial"/>
          <w:b w:val="0"/>
          <w:kern w:val="3"/>
          <w:sz w:val="24"/>
          <w:szCs w:val="24"/>
          <w:lang w:eastAsia="zh-CN"/>
        </w:rPr>
        <w:t>Протезы конечностей и ортезы наружные. Требования и методы испытаний</w:t>
      </w:r>
      <w:r w:rsidR="00AE29EC" w:rsidRPr="00D1568B">
        <w:rPr>
          <w:rFonts w:eastAsia="Arial"/>
          <w:b w:val="0"/>
          <w:kern w:val="3"/>
          <w:sz w:val="24"/>
          <w:szCs w:val="24"/>
          <w:lang w:eastAsia="zh-CN"/>
        </w:rPr>
        <w:t>»</w:t>
      </w:r>
      <w:r w:rsidR="007C5601" w:rsidRPr="00D1568B">
        <w:rPr>
          <w:rFonts w:eastAsia="Arial"/>
          <w:b w:val="0"/>
          <w:kern w:val="3"/>
          <w:sz w:val="24"/>
          <w:szCs w:val="24"/>
          <w:lang w:eastAsia="zh-CN"/>
        </w:rPr>
        <w:t>,</w:t>
      </w:r>
      <w:r w:rsidR="00AE29EC" w:rsidRPr="00D1568B">
        <w:rPr>
          <w:rFonts w:eastAsia="Andale Sans UI"/>
          <w:b w:val="0"/>
          <w:kern w:val="3"/>
          <w:sz w:val="24"/>
          <w:szCs w:val="24"/>
          <w:lang w:eastAsia="ja-JP" w:bidi="fa-IR"/>
        </w:rPr>
        <w:t xml:space="preserve"> </w:t>
      </w:r>
      <w:r w:rsidR="00D1568B" w:rsidRPr="00D1568B">
        <w:rPr>
          <w:b w:val="0"/>
          <w:sz w:val="24"/>
          <w:szCs w:val="24"/>
        </w:rPr>
        <w:t>ГОСТ Р 56138-2014</w:t>
      </w:r>
      <w:r w:rsidR="00A05DBF">
        <w:rPr>
          <w:b w:val="0"/>
          <w:sz w:val="24"/>
          <w:szCs w:val="24"/>
        </w:rPr>
        <w:t xml:space="preserve"> </w:t>
      </w:r>
      <w:r w:rsidR="00D1568B" w:rsidRPr="00A05DBF">
        <w:rPr>
          <w:b w:val="0"/>
          <w:kern w:val="0"/>
          <w:sz w:val="24"/>
          <w:szCs w:val="24"/>
        </w:rPr>
        <w:t>«Протезы верхних конечностей. Технические требования»,</w:t>
      </w:r>
      <w:r w:rsidR="00D1568B" w:rsidRPr="00A05DBF">
        <w:rPr>
          <w:rFonts w:eastAsia="Andale Sans UI"/>
          <w:b w:val="0"/>
          <w:kern w:val="3"/>
          <w:sz w:val="24"/>
          <w:szCs w:val="24"/>
          <w:lang w:eastAsia="ja-JP" w:bidi="fa-IR"/>
        </w:rPr>
        <w:t xml:space="preserve"> </w:t>
      </w:r>
      <w:r w:rsidR="00FB2A70" w:rsidRPr="00A05DBF">
        <w:rPr>
          <w:rFonts w:eastAsia="Arial" w:cs="Arial"/>
          <w:b w:val="0"/>
          <w:kern w:val="0"/>
          <w:sz w:val="24"/>
          <w:szCs w:val="24"/>
        </w:rPr>
        <w:t xml:space="preserve">ГОСТ ISO 10993-1-2011 «Изделия медицинские. Оценка биологического действия медицинских изделий. </w:t>
      </w:r>
      <w:r w:rsidR="00AD636F" w:rsidRPr="00A05DBF">
        <w:rPr>
          <w:rFonts w:eastAsia="Andale Sans UI"/>
          <w:b w:val="0"/>
          <w:sz w:val="24"/>
          <w:szCs w:val="24"/>
          <w:lang w:eastAsia="ja-JP" w:bidi="fa-IR"/>
        </w:rPr>
        <w:t>Часть 1. Оценка и исследование»,</w:t>
      </w:r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 xml:space="preserve"> </w:t>
      </w:r>
      <w:r w:rsidR="00FB2A70" w:rsidRPr="00A05DBF">
        <w:rPr>
          <w:rFonts w:eastAsia="Arial" w:cs="Arial"/>
          <w:b w:val="0"/>
          <w:kern w:val="0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</w:t>
      </w:r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 xml:space="preserve">Часть 5. Исследования на </w:t>
      </w:r>
      <w:proofErr w:type="spellStart"/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>цитотоксичность</w:t>
      </w:r>
      <w:proofErr w:type="spellEnd"/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 xml:space="preserve">: методы </w:t>
      </w:r>
      <w:proofErr w:type="spellStart"/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>in</w:t>
      </w:r>
      <w:proofErr w:type="spellEnd"/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 xml:space="preserve"> </w:t>
      </w:r>
      <w:proofErr w:type="spellStart"/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>vitro</w:t>
      </w:r>
      <w:proofErr w:type="spellEnd"/>
      <w:r w:rsidR="00AD636F" w:rsidRPr="00A05DBF">
        <w:rPr>
          <w:rFonts w:eastAsia="Andale Sans UI"/>
          <w:b w:val="0"/>
          <w:sz w:val="24"/>
          <w:szCs w:val="24"/>
          <w:lang w:eastAsia="ja-JP" w:bidi="fa-IR"/>
        </w:rPr>
        <w:t>»,</w:t>
      </w:r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 xml:space="preserve"> </w:t>
      </w:r>
      <w:r w:rsidR="00FB2A70" w:rsidRPr="00A05DBF">
        <w:rPr>
          <w:rFonts w:eastAsia="Arial" w:cs="Arial"/>
          <w:b w:val="0"/>
          <w:kern w:val="0"/>
          <w:sz w:val="24"/>
          <w:szCs w:val="24"/>
        </w:rPr>
        <w:t xml:space="preserve">ГОСТ ISO 10993-10-2011 «Изделия медицинские. Оценка биологического действия медицинских изделий. </w:t>
      </w:r>
      <w:r w:rsidR="00FB2A70" w:rsidRPr="00A05DBF">
        <w:rPr>
          <w:rFonts w:eastAsia="Andale Sans UI"/>
          <w:b w:val="0"/>
          <w:sz w:val="24"/>
          <w:szCs w:val="24"/>
          <w:lang w:eastAsia="ja-JP" w:bidi="fa-IR"/>
        </w:rPr>
        <w:t>Часть 10. Исследование раздражающего и сенсибилизирующего действия</w:t>
      </w:r>
      <w:r w:rsidR="00FB2A70" w:rsidRPr="00A05DBF">
        <w:rPr>
          <w:rFonts w:eastAsia="Arial" w:cs="Arial"/>
          <w:b w:val="0"/>
          <w:kern w:val="0"/>
          <w:sz w:val="24"/>
          <w:szCs w:val="24"/>
        </w:rPr>
        <w:t>».</w:t>
      </w:r>
    </w:p>
    <w:p w:rsidR="00932E1D" w:rsidRDefault="00F57303" w:rsidP="008277E8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lastRenderedPageBreak/>
        <w:t xml:space="preserve">Протезное 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>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</w:p>
    <w:p w:rsidR="00AE29EC" w:rsidRPr="00C61371" w:rsidRDefault="004B76F1" w:rsidP="00FE5E72">
      <w:pPr>
        <w:widowControl w:val="0"/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Параметры нагружения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>награждения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Протезы должны соответствовать Национальным стандартом Российской Федерации ГОСТ Р 51632-2014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Технические средства реабилитации людей с ограниченными возможностями.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Общие технические требования и мето</w:t>
      </w:r>
      <w:r w:rsidR="00A162A2">
        <w:rPr>
          <w:rFonts w:eastAsia="Arial" w:cs="Times New Roman"/>
          <w:color w:val="auto"/>
          <w:kern w:val="3"/>
          <w:lang w:val="ru-RU" w:eastAsia="zh-CN" w:bidi="ar-SA"/>
        </w:rPr>
        <w:t>ды испытаний», ГОСТ Р 52770-2016</w:t>
      </w:r>
      <w:r w:rsidR="008277E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«Изделия медицинские. Требования безопасности. Методы </w:t>
      </w:r>
      <w:r w:rsidR="009821EA" w:rsidRPr="00C61371">
        <w:rPr>
          <w:rFonts w:eastAsia="Arial" w:cs="Times New Roman"/>
          <w:color w:val="auto"/>
          <w:kern w:val="3"/>
          <w:lang w:val="ru-RU" w:eastAsia="zh-CN" w:bidi="ar-SA"/>
        </w:rPr>
        <w:t>санитарно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-химических и токсикологических испытаний».</w:t>
      </w:r>
    </w:p>
    <w:p w:rsidR="003B7316" w:rsidRPr="00C61371" w:rsidRDefault="003B7316" w:rsidP="008C27F4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изготавливаться с учетом анатомических дефектов </w:t>
      </w:r>
      <w:r w:rsidR="008C27F4">
        <w:rPr>
          <w:rFonts w:eastAsia="Arial" w:cs="Times New Roman"/>
          <w:color w:val="auto"/>
          <w:kern w:val="3"/>
          <w:lang w:val="ru-RU" w:eastAsia="zh-CN" w:bidi="ar-SA"/>
        </w:rPr>
        <w:t>верхних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Узлы протезов должны быть стойкими к воздействию физиологических </w:t>
      </w:r>
      <w:r w:rsidR="009821EA" w:rsidRPr="00C61371">
        <w:rPr>
          <w:rFonts w:eastAsia="Arial" w:cs="Times New Roman"/>
          <w:color w:val="auto"/>
          <w:kern w:val="3"/>
          <w:lang w:val="ru-RU" w:eastAsia="zh-CN" w:bidi="ar-SA"/>
        </w:rPr>
        <w:t>жидкостей (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пота, мочи).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65533C" w:rsidRDefault="0065533C" w:rsidP="00AE7588">
      <w:pPr>
        <w:suppressAutoHyphens w:val="0"/>
        <w:ind w:firstLine="567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</w:p>
    <w:p w:rsidR="00AE7588" w:rsidRPr="00933D5D" w:rsidRDefault="007633E6" w:rsidP="007633E6">
      <w:pPr>
        <w:suppressAutoHyphens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933D5D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AE7588" w:rsidRPr="00C61371" w:rsidRDefault="00AE7588" w:rsidP="00AE758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AE7588" w:rsidRPr="00C61371" w:rsidRDefault="00AE7588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</w:p>
    <w:p w:rsidR="008D1A34" w:rsidRPr="00933D5D" w:rsidRDefault="008D1A34" w:rsidP="007633E6">
      <w:pPr>
        <w:keepNext/>
        <w:widowControl w:val="0"/>
        <w:spacing w:line="100" w:lineRule="atLeast"/>
        <w:ind w:firstLine="567"/>
        <w:jc w:val="both"/>
        <w:textAlignment w:val="baseline"/>
        <w:rPr>
          <w:rFonts w:cs="Times New Roman"/>
          <w:lang w:val="de-DE"/>
        </w:rPr>
      </w:pPr>
      <w:proofErr w:type="spellStart"/>
      <w:r w:rsidRPr="00933D5D">
        <w:rPr>
          <w:rFonts w:cs="Times New Roman"/>
          <w:b/>
          <w:bCs/>
          <w:lang w:val="de-DE"/>
        </w:rPr>
        <w:t>Требования</w:t>
      </w:r>
      <w:proofErr w:type="spellEnd"/>
      <w:r w:rsidRPr="00933D5D">
        <w:rPr>
          <w:rFonts w:cs="Times New Roman"/>
          <w:b/>
          <w:bCs/>
          <w:lang w:val="de-DE"/>
        </w:rPr>
        <w:t xml:space="preserve"> к </w:t>
      </w:r>
      <w:proofErr w:type="spellStart"/>
      <w:r w:rsidRPr="00933D5D">
        <w:rPr>
          <w:rFonts w:cs="Times New Roman"/>
          <w:b/>
          <w:bCs/>
          <w:lang w:val="de-DE"/>
        </w:rPr>
        <w:t>месту</w:t>
      </w:r>
      <w:proofErr w:type="spellEnd"/>
      <w:r w:rsidRPr="00933D5D">
        <w:rPr>
          <w:rFonts w:cs="Times New Roman"/>
          <w:b/>
          <w:bCs/>
          <w:lang w:val="de-DE"/>
        </w:rPr>
        <w:t xml:space="preserve">, </w:t>
      </w:r>
      <w:proofErr w:type="spellStart"/>
      <w:r w:rsidRPr="00933D5D">
        <w:rPr>
          <w:rFonts w:cs="Times New Roman"/>
          <w:b/>
          <w:bCs/>
          <w:lang w:val="de-DE"/>
        </w:rPr>
        <w:t>условиям</w:t>
      </w:r>
      <w:proofErr w:type="spellEnd"/>
      <w:r w:rsidRPr="00933D5D">
        <w:rPr>
          <w:rFonts w:cs="Times New Roman"/>
          <w:b/>
          <w:bCs/>
          <w:lang w:val="de-DE"/>
        </w:rPr>
        <w:t xml:space="preserve"> и </w:t>
      </w:r>
      <w:proofErr w:type="spellStart"/>
      <w:r w:rsidRPr="00933D5D">
        <w:rPr>
          <w:rFonts w:cs="Times New Roman"/>
          <w:b/>
          <w:bCs/>
          <w:lang w:val="de-DE"/>
        </w:rPr>
        <w:t>срокам</w:t>
      </w:r>
      <w:proofErr w:type="spellEnd"/>
      <w:r w:rsidRPr="00933D5D">
        <w:rPr>
          <w:rFonts w:cs="Times New Roman"/>
          <w:b/>
          <w:bCs/>
          <w:lang w:val="de-DE"/>
        </w:rPr>
        <w:t xml:space="preserve"> (</w:t>
      </w:r>
      <w:proofErr w:type="spellStart"/>
      <w:r w:rsidRPr="00933D5D">
        <w:rPr>
          <w:rFonts w:cs="Times New Roman"/>
          <w:b/>
          <w:bCs/>
          <w:lang w:val="de-DE"/>
        </w:rPr>
        <w:t>периодам</w:t>
      </w:r>
      <w:proofErr w:type="spellEnd"/>
      <w:r w:rsidRPr="00933D5D">
        <w:rPr>
          <w:rFonts w:cs="Times New Roman"/>
          <w:b/>
          <w:bCs/>
          <w:lang w:val="de-DE"/>
        </w:rPr>
        <w:t xml:space="preserve">) </w:t>
      </w:r>
      <w:r w:rsidR="00992135" w:rsidRPr="00933D5D">
        <w:rPr>
          <w:rFonts w:cs="Times New Roman"/>
          <w:b/>
          <w:bCs/>
          <w:lang w:val="ru-RU"/>
        </w:rPr>
        <w:t>выполнения работ</w:t>
      </w:r>
      <w:r w:rsidRPr="00933D5D">
        <w:rPr>
          <w:rFonts w:cs="Times New Roman"/>
          <w:b/>
          <w:bCs/>
          <w:lang w:val="de-DE"/>
        </w:rPr>
        <w:t>:</w:t>
      </w:r>
    </w:p>
    <w:p w:rsidR="008D1A34" w:rsidRPr="00C61371" w:rsidRDefault="008D1A34" w:rsidP="008D1A34">
      <w:pPr>
        <w:keepNext/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ru-RU"/>
        </w:rPr>
        <w:t xml:space="preserve"> </w:t>
      </w: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ведение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журнала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инвалидам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из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реестра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получателей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с </w:t>
      </w:r>
      <w:proofErr w:type="spellStart"/>
      <w:r w:rsidRPr="00C61371">
        <w:rPr>
          <w:rFonts w:cs="Times New Roman"/>
          <w:lang w:val="de-DE"/>
        </w:rPr>
        <w:t>пометкой</w:t>
      </w:r>
      <w:proofErr w:type="spellEnd"/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результате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звонка</w:t>
      </w:r>
      <w:proofErr w:type="spellEnd"/>
      <w:r w:rsidRPr="00C61371">
        <w:rPr>
          <w:rFonts w:cs="Times New Roman"/>
          <w:lang w:val="ru-RU"/>
        </w:rPr>
        <w:t>;</w:t>
      </w:r>
      <w:r w:rsidRPr="00C61371">
        <w:rPr>
          <w:rFonts w:cs="Times New Roman"/>
          <w:lang w:val="de-DE"/>
        </w:rPr>
        <w:t xml:space="preserve"> </w:t>
      </w:r>
    </w:p>
    <w:p w:rsidR="008D1A34" w:rsidRPr="00C61371" w:rsidRDefault="008D1A34" w:rsidP="008D1A34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ведение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аудиозаписи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разговоров</w:t>
      </w:r>
      <w:proofErr w:type="spellEnd"/>
      <w:r w:rsidRPr="00C61371">
        <w:rPr>
          <w:rFonts w:cs="Times New Roman"/>
          <w:lang w:val="de-DE"/>
        </w:rPr>
        <w:t xml:space="preserve"> с </w:t>
      </w:r>
      <w:proofErr w:type="spellStart"/>
      <w:r w:rsidRPr="00C61371">
        <w:rPr>
          <w:rFonts w:cs="Times New Roman"/>
          <w:lang w:val="de-DE"/>
        </w:rPr>
        <w:t>инвалидами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вопросам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</w:p>
    <w:p w:rsidR="008D1A34" w:rsidRPr="00C61371" w:rsidRDefault="008D1A34" w:rsidP="008D1A34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предоставление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Заказчику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рамках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подтверждения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исполнения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государственного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контракта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журнала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звонков</w:t>
      </w:r>
      <w:proofErr w:type="spellEnd"/>
      <w:r w:rsidRPr="00C61371">
        <w:rPr>
          <w:rFonts w:cs="Times New Roman"/>
          <w:lang w:val="de-DE"/>
        </w:rPr>
        <w:t>;</w:t>
      </w:r>
    </w:p>
    <w:p w:rsidR="008D1A34" w:rsidRPr="00C61371" w:rsidRDefault="008D1A34" w:rsidP="008D1A34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инвалидам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8D1A34" w:rsidRPr="00C61371" w:rsidRDefault="008D1A34" w:rsidP="008D1A34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 - </w:t>
      </w:r>
      <w:proofErr w:type="spellStart"/>
      <w:r w:rsidRPr="00C61371">
        <w:rPr>
          <w:rFonts w:cs="Times New Roman"/>
          <w:lang w:val="de-DE"/>
        </w:rPr>
        <w:t>информирование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инвалидов</w:t>
      </w:r>
      <w:proofErr w:type="spellEnd"/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7633E6" w:rsidRDefault="007633E6" w:rsidP="007633E6">
      <w:pPr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AE7588" w:rsidRPr="00933D5D" w:rsidRDefault="00AE7588" w:rsidP="00EE3F23">
      <w:pPr>
        <w:widowControl w:val="0"/>
        <w:ind w:firstLine="709"/>
        <w:jc w:val="both"/>
        <w:rPr>
          <w:rFonts w:cs="Times New Roman"/>
          <w:kern w:val="0"/>
          <w:lang w:val="ru-RU"/>
        </w:rPr>
      </w:pPr>
      <w:r w:rsidRPr="00933D5D">
        <w:rPr>
          <w:rFonts w:cs="Times New Roman"/>
          <w:b/>
          <w:kern w:val="0"/>
          <w:lang w:val="ru-RU"/>
        </w:rPr>
        <w:t>Гарантийный срок</w:t>
      </w:r>
    </w:p>
    <w:p w:rsidR="004C4879" w:rsidRDefault="004C4879" w:rsidP="004C4879">
      <w:pPr>
        <w:ind w:left="-15" w:firstLine="724"/>
        <w:jc w:val="both"/>
        <w:rPr>
          <w:lang w:val="ru-RU"/>
        </w:rPr>
      </w:pPr>
      <w:r>
        <w:rPr>
          <w:lang w:val="ru-RU"/>
        </w:rPr>
        <w:t xml:space="preserve">Исполнитель гарантирует, что работы, выполненные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</w:t>
      </w:r>
      <w:r>
        <w:rPr>
          <w:lang w:val="ru-RU"/>
        </w:rPr>
        <w:lastRenderedPageBreak/>
        <w:t>действия или упущения Исполнителя при нормальном использовании в обычных условиях эксплуатации.</w:t>
      </w:r>
    </w:p>
    <w:p w:rsidR="004C4879" w:rsidRDefault="004C4879" w:rsidP="004C4879">
      <w:pPr>
        <w:widowControl w:val="0"/>
        <w:ind w:firstLine="709"/>
        <w:jc w:val="both"/>
        <w:rPr>
          <w:szCs w:val="22"/>
          <w:lang w:val="ru-RU"/>
        </w:rPr>
      </w:pPr>
      <w:r>
        <w:rPr>
          <w:lang w:val="ru-RU"/>
        </w:rPr>
        <w:t xml:space="preserve">Данная гарантия действительна для </w:t>
      </w:r>
      <w:r>
        <w:rPr>
          <w:szCs w:val="22"/>
          <w:lang w:val="ru-RU"/>
        </w:rPr>
        <w:t>протезов верхних конечностей в течение 7 (семь) месяцев после подписания Акта сдачи-приемки работ Получателем.</w:t>
      </w:r>
    </w:p>
    <w:p w:rsidR="004C4879" w:rsidRDefault="004C4879" w:rsidP="004C4879">
      <w:pPr>
        <w:tabs>
          <w:tab w:val="left" w:pos="716"/>
        </w:tabs>
        <w:jc w:val="both"/>
        <w:rPr>
          <w:lang w:val="ru-RU"/>
        </w:rPr>
      </w:pPr>
      <w:r>
        <w:rPr>
          <w:lang w:val="ru-RU"/>
        </w:rPr>
        <w:tab/>
        <w:t xml:space="preserve">Текущее обслуживание изготовленных </w:t>
      </w:r>
      <w:r>
        <w:rPr>
          <w:szCs w:val="22"/>
          <w:lang w:val="ru-RU"/>
        </w:rPr>
        <w:t xml:space="preserve">протезов верхних конечностей </w:t>
      </w:r>
      <w:r>
        <w:rPr>
          <w:lang w:val="ru-RU"/>
        </w:rPr>
        <w:t xml:space="preserve">производится Получателем в соответствии с инструкцией по эксплуатации. </w:t>
      </w:r>
    </w:p>
    <w:p w:rsidR="004C4879" w:rsidRDefault="004C4879" w:rsidP="004C4879">
      <w:pPr>
        <w:ind w:firstLine="699"/>
        <w:jc w:val="both"/>
        <w:rPr>
          <w:lang w:val="ru-RU"/>
        </w:rPr>
      </w:pPr>
      <w:r>
        <w:rPr>
          <w:lang w:val="ru-RU"/>
        </w:rPr>
        <w:t>Если изготовленный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D326B9" w:rsidRDefault="00D326B9" w:rsidP="007B2360">
      <w:pPr>
        <w:widowControl w:val="0"/>
        <w:spacing w:line="100" w:lineRule="atLeast"/>
        <w:textAlignment w:val="baseline"/>
        <w:rPr>
          <w:b/>
          <w:color w:val="auto"/>
          <w:lang w:val="ru-RU" w:eastAsia="ar-SA" w:bidi="ar-SA"/>
        </w:rPr>
      </w:pPr>
    </w:p>
    <w:p w:rsidR="005623D9" w:rsidRPr="00933D5D" w:rsidRDefault="00570757" w:rsidP="00EE3F23">
      <w:pPr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933D5D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5623D9" w:rsidRDefault="00570757" w:rsidP="005623D9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207529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заказам инвалидов, ветеранов при наличии направлений, выданных Заказчиком.</w:t>
      </w:r>
    </w:p>
    <w:p w:rsidR="005623D9" w:rsidRDefault="005623D9" w:rsidP="005623D9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AF695C" w:rsidRDefault="00570757" w:rsidP="00AF695C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 </w:t>
      </w: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="00AF695C" w:rsidRPr="00207529">
        <w:rPr>
          <w:color w:val="auto"/>
          <w:lang w:val="ru-RU" w:eastAsia="ar-SA" w:bidi="ar-SA"/>
        </w:rPr>
        <w:t xml:space="preserve">с даты подписания Контракта до </w:t>
      </w:r>
      <w:r w:rsidR="00C11314">
        <w:rPr>
          <w:color w:val="auto"/>
          <w:lang w:val="ru-RU" w:eastAsia="ar-SA" w:bidi="ar-SA"/>
        </w:rPr>
        <w:t>25</w:t>
      </w:r>
      <w:r w:rsidR="00AF695C">
        <w:rPr>
          <w:color w:val="auto"/>
          <w:lang w:val="ru-RU" w:eastAsia="ar-SA" w:bidi="ar-SA"/>
        </w:rPr>
        <w:t xml:space="preserve"> декабря 201</w:t>
      </w:r>
      <w:r w:rsidR="00C11314">
        <w:rPr>
          <w:color w:val="auto"/>
          <w:lang w:val="ru-RU" w:eastAsia="ar-SA" w:bidi="ar-SA"/>
        </w:rPr>
        <w:t>9</w:t>
      </w:r>
      <w:r w:rsidR="00AF695C">
        <w:rPr>
          <w:color w:val="auto"/>
          <w:lang w:val="ru-RU" w:eastAsia="ar-SA" w:bidi="ar-SA"/>
        </w:rPr>
        <w:t xml:space="preserve"> г</w:t>
      </w:r>
      <w:r w:rsidR="0058043E">
        <w:rPr>
          <w:color w:val="auto"/>
          <w:lang w:val="ru-RU" w:eastAsia="ar-SA" w:bidi="ar-SA"/>
        </w:rPr>
        <w:t>.</w:t>
      </w:r>
      <w:r w:rsidR="00AF695C">
        <w:rPr>
          <w:color w:val="auto"/>
          <w:lang w:val="ru-RU" w:eastAsia="ar-SA" w:bidi="ar-SA"/>
        </w:rPr>
        <w:t xml:space="preserve"> должно быть изготовлено – 100% изделий, </w:t>
      </w:r>
      <w:r w:rsidR="00AF695C" w:rsidRPr="00207529">
        <w:rPr>
          <w:color w:val="auto"/>
          <w:lang w:val="ru-RU" w:eastAsia="ar-SA" w:bidi="ar-SA"/>
        </w:rPr>
        <w:t>не более 45 дней с даты обращения инвалида, ветерана к Исполнителю с направлением, выданным Заказчиком.</w:t>
      </w:r>
    </w:p>
    <w:p w:rsidR="00AF695C" w:rsidRDefault="00AF695C" w:rsidP="00AF695C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FE5E72" w:rsidRDefault="00FE5E72" w:rsidP="00055B0A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055B0A" w:rsidRDefault="00055B0A" w:rsidP="00055B0A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bookmarkStart w:id="0" w:name="_GoBack"/>
      <w:bookmarkEnd w:id="0"/>
    </w:p>
    <w:sectPr w:rsidR="00055B0A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05C28"/>
    <w:rsid w:val="00015C1E"/>
    <w:rsid w:val="00025CF0"/>
    <w:rsid w:val="00031192"/>
    <w:rsid w:val="000317D8"/>
    <w:rsid w:val="00036809"/>
    <w:rsid w:val="000409C5"/>
    <w:rsid w:val="00043CB7"/>
    <w:rsid w:val="00055B0A"/>
    <w:rsid w:val="00072519"/>
    <w:rsid w:val="000744A0"/>
    <w:rsid w:val="000A0975"/>
    <w:rsid w:val="000A2149"/>
    <w:rsid w:val="000C2F3C"/>
    <w:rsid w:val="000D12FA"/>
    <w:rsid w:val="000D6AF0"/>
    <w:rsid w:val="000E2526"/>
    <w:rsid w:val="000F60FE"/>
    <w:rsid w:val="000F663A"/>
    <w:rsid w:val="0010261A"/>
    <w:rsid w:val="00112633"/>
    <w:rsid w:val="00112C39"/>
    <w:rsid w:val="001522F0"/>
    <w:rsid w:val="00153441"/>
    <w:rsid w:val="00195AC3"/>
    <w:rsid w:val="00195FFB"/>
    <w:rsid w:val="001E4CAB"/>
    <w:rsid w:val="001E5724"/>
    <w:rsid w:val="001E79E7"/>
    <w:rsid w:val="00213CF3"/>
    <w:rsid w:val="0024024F"/>
    <w:rsid w:val="00282C0C"/>
    <w:rsid w:val="002A3D3E"/>
    <w:rsid w:val="002B705A"/>
    <w:rsid w:val="002C768A"/>
    <w:rsid w:val="002F2591"/>
    <w:rsid w:val="002F72EE"/>
    <w:rsid w:val="00330903"/>
    <w:rsid w:val="003A1932"/>
    <w:rsid w:val="003A4893"/>
    <w:rsid w:val="003B7316"/>
    <w:rsid w:val="003C6EF5"/>
    <w:rsid w:val="003C6F4E"/>
    <w:rsid w:val="003D4F0A"/>
    <w:rsid w:val="00403B2F"/>
    <w:rsid w:val="00403DA6"/>
    <w:rsid w:val="00411ACF"/>
    <w:rsid w:val="00426715"/>
    <w:rsid w:val="004376FD"/>
    <w:rsid w:val="004451BD"/>
    <w:rsid w:val="00447EDE"/>
    <w:rsid w:val="004B76F1"/>
    <w:rsid w:val="004C28E4"/>
    <w:rsid w:val="004C4879"/>
    <w:rsid w:val="004D7274"/>
    <w:rsid w:val="005161DE"/>
    <w:rsid w:val="00517D39"/>
    <w:rsid w:val="00523985"/>
    <w:rsid w:val="005307CA"/>
    <w:rsid w:val="00530CDA"/>
    <w:rsid w:val="005623D9"/>
    <w:rsid w:val="00570757"/>
    <w:rsid w:val="0058043E"/>
    <w:rsid w:val="005B1848"/>
    <w:rsid w:val="005C6FE7"/>
    <w:rsid w:val="005D108A"/>
    <w:rsid w:val="005E2187"/>
    <w:rsid w:val="00621236"/>
    <w:rsid w:val="0065533C"/>
    <w:rsid w:val="006600F6"/>
    <w:rsid w:val="00697FAB"/>
    <w:rsid w:val="006B03F1"/>
    <w:rsid w:val="006C6D85"/>
    <w:rsid w:val="006D0D9F"/>
    <w:rsid w:val="006D37EE"/>
    <w:rsid w:val="006D6E53"/>
    <w:rsid w:val="006E48F5"/>
    <w:rsid w:val="006F474D"/>
    <w:rsid w:val="00707193"/>
    <w:rsid w:val="007107B2"/>
    <w:rsid w:val="007113B2"/>
    <w:rsid w:val="00711932"/>
    <w:rsid w:val="007633E6"/>
    <w:rsid w:val="00772A70"/>
    <w:rsid w:val="00773501"/>
    <w:rsid w:val="007815D8"/>
    <w:rsid w:val="007B2360"/>
    <w:rsid w:val="007B2A21"/>
    <w:rsid w:val="007B5B53"/>
    <w:rsid w:val="007C507D"/>
    <w:rsid w:val="007C5601"/>
    <w:rsid w:val="008010A0"/>
    <w:rsid w:val="00815E01"/>
    <w:rsid w:val="00823BC6"/>
    <w:rsid w:val="008248B8"/>
    <w:rsid w:val="008277E8"/>
    <w:rsid w:val="00827DE2"/>
    <w:rsid w:val="00841866"/>
    <w:rsid w:val="0084246E"/>
    <w:rsid w:val="008743DA"/>
    <w:rsid w:val="00894B8C"/>
    <w:rsid w:val="008B204B"/>
    <w:rsid w:val="008C27F4"/>
    <w:rsid w:val="008D1A34"/>
    <w:rsid w:val="008E6735"/>
    <w:rsid w:val="008F26F4"/>
    <w:rsid w:val="008F35D0"/>
    <w:rsid w:val="00932E1D"/>
    <w:rsid w:val="00933D5D"/>
    <w:rsid w:val="009466DA"/>
    <w:rsid w:val="0096420C"/>
    <w:rsid w:val="0096567B"/>
    <w:rsid w:val="009821EA"/>
    <w:rsid w:val="00990C6F"/>
    <w:rsid w:val="00992135"/>
    <w:rsid w:val="009A26B8"/>
    <w:rsid w:val="009A31D0"/>
    <w:rsid w:val="009C067D"/>
    <w:rsid w:val="009D54B4"/>
    <w:rsid w:val="009E633B"/>
    <w:rsid w:val="00A03D17"/>
    <w:rsid w:val="00A05DBF"/>
    <w:rsid w:val="00A06CAF"/>
    <w:rsid w:val="00A162A2"/>
    <w:rsid w:val="00A22166"/>
    <w:rsid w:val="00A306BC"/>
    <w:rsid w:val="00A36878"/>
    <w:rsid w:val="00A558A6"/>
    <w:rsid w:val="00A85C25"/>
    <w:rsid w:val="00AB23A8"/>
    <w:rsid w:val="00AD636F"/>
    <w:rsid w:val="00AE0A31"/>
    <w:rsid w:val="00AE29EC"/>
    <w:rsid w:val="00AE7588"/>
    <w:rsid w:val="00AE7614"/>
    <w:rsid w:val="00AF695C"/>
    <w:rsid w:val="00AF7DF1"/>
    <w:rsid w:val="00B00E9F"/>
    <w:rsid w:val="00B013AA"/>
    <w:rsid w:val="00B12AD3"/>
    <w:rsid w:val="00B23545"/>
    <w:rsid w:val="00B53376"/>
    <w:rsid w:val="00B86E74"/>
    <w:rsid w:val="00BC2AA7"/>
    <w:rsid w:val="00C11314"/>
    <w:rsid w:val="00C6127B"/>
    <w:rsid w:val="00C61371"/>
    <w:rsid w:val="00C90E47"/>
    <w:rsid w:val="00CA33A5"/>
    <w:rsid w:val="00CA374C"/>
    <w:rsid w:val="00CA685E"/>
    <w:rsid w:val="00CB0E38"/>
    <w:rsid w:val="00CB3B66"/>
    <w:rsid w:val="00CC45FD"/>
    <w:rsid w:val="00CE5439"/>
    <w:rsid w:val="00CF2163"/>
    <w:rsid w:val="00D03EC7"/>
    <w:rsid w:val="00D1568B"/>
    <w:rsid w:val="00D172CE"/>
    <w:rsid w:val="00D21854"/>
    <w:rsid w:val="00D30CAE"/>
    <w:rsid w:val="00D326B9"/>
    <w:rsid w:val="00D4709A"/>
    <w:rsid w:val="00D47C58"/>
    <w:rsid w:val="00D53CB9"/>
    <w:rsid w:val="00DA7E89"/>
    <w:rsid w:val="00DB1443"/>
    <w:rsid w:val="00DF4ED5"/>
    <w:rsid w:val="00E001AE"/>
    <w:rsid w:val="00E20616"/>
    <w:rsid w:val="00E20C4F"/>
    <w:rsid w:val="00E27A45"/>
    <w:rsid w:val="00E35F4C"/>
    <w:rsid w:val="00E47944"/>
    <w:rsid w:val="00EE3F23"/>
    <w:rsid w:val="00F06FAF"/>
    <w:rsid w:val="00F4170A"/>
    <w:rsid w:val="00F46157"/>
    <w:rsid w:val="00F57303"/>
    <w:rsid w:val="00F6031E"/>
    <w:rsid w:val="00F9620E"/>
    <w:rsid w:val="00FB2A70"/>
    <w:rsid w:val="00FB549B"/>
    <w:rsid w:val="00FC69AF"/>
    <w:rsid w:val="00FE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D1568B"/>
    <w:pPr>
      <w:suppressAutoHyphens w:val="0"/>
      <w:jc w:val="center"/>
      <w:outlineLvl w:val="0"/>
    </w:pPr>
    <w:rPr>
      <w:rFonts w:eastAsia="Times New Roman" w:cs="Times New Roman"/>
      <w:b/>
      <w:bCs/>
      <w:color w:val="auto"/>
      <w:kern w:val="36"/>
      <w:sz w:val="36"/>
      <w:szCs w:val="36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D1568B"/>
    <w:pPr>
      <w:suppressAutoHyphens w:val="0"/>
      <w:spacing w:after="400"/>
      <w:jc w:val="center"/>
      <w:outlineLvl w:val="1"/>
    </w:pPr>
    <w:rPr>
      <w:rFonts w:eastAsia="Times New Roman" w:cs="Times New Roman"/>
      <w:b/>
      <w:bCs/>
      <w:color w:val="auto"/>
      <w:kern w:val="0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styleId="a6">
    <w:name w:val="caption"/>
    <w:basedOn w:val="a"/>
    <w:next w:val="a"/>
    <w:uiPriority w:val="35"/>
    <w:semiHidden/>
    <w:unhideWhenUsed/>
    <w:qFormat/>
    <w:rsid w:val="000D6AF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68B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6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FE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D1568B"/>
    <w:pPr>
      <w:suppressAutoHyphens w:val="0"/>
      <w:jc w:val="center"/>
      <w:outlineLvl w:val="0"/>
    </w:pPr>
    <w:rPr>
      <w:rFonts w:eastAsia="Times New Roman" w:cs="Times New Roman"/>
      <w:b/>
      <w:bCs/>
      <w:color w:val="auto"/>
      <w:kern w:val="36"/>
      <w:sz w:val="36"/>
      <w:szCs w:val="36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D1568B"/>
    <w:pPr>
      <w:suppressAutoHyphens w:val="0"/>
      <w:spacing w:after="400"/>
      <w:jc w:val="center"/>
      <w:outlineLvl w:val="1"/>
    </w:pPr>
    <w:rPr>
      <w:rFonts w:eastAsia="Times New Roman" w:cs="Times New Roman"/>
      <w:b/>
      <w:bCs/>
      <w:color w:val="auto"/>
      <w:kern w:val="0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styleId="a6">
    <w:name w:val="caption"/>
    <w:basedOn w:val="a"/>
    <w:next w:val="a"/>
    <w:uiPriority w:val="35"/>
    <w:semiHidden/>
    <w:unhideWhenUsed/>
    <w:qFormat/>
    <w:rsid w:val="000D6AF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68B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6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FE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56C2-71D8-4DAF-919B-EE2588F2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Сутягина Анна Александровна</cp:lastModifiedBy>
  <cp:revision>147</cp:revision>
  <cp:lastPrinted>2017-09-04T05:11:00Z</cp:lastPrinted>
  <dcterms:created xsi:type="dcterms:W3CDTF">2016-02-26T00:16:00Z</dcterms:created>
  <dcterms:modified xsi:type="dcterms:W3CDTF">2019-04-04T22:57:00Z</dcterms:modified>
</cp:coreProperties>
</file>