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2" w:rsidRPr="005E770E" w:rsidRDefault="00FB4D02" w:rsidP="00FB4D02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FB4D02" w:rsidRDefault="004E5CAA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i/>
          <w:u w:val="single"/>
        </w:rPr>
        <w:t>Изделия хозяйственные и санитарно-гигиенические. Поставка инвалидам абсорбирующего белья</w:t>
      </w:r>
      <w:proofErr w:type="gramStart"/>
      <w:r>
        <w:rPr>
          <w:i/>
          <w:u w:val="single"/>
        </w:rPr>
        <w:t>.</w:t>
      </w:r>
      <w:r w:rsidR="00FB4D02">
        <w:rPr>
          <w:i/>
          <w:u w:val="single"/>
        </w:rPr>
        <w:t>.</w:t>
      </w:r>
      <w:proofErr w:type="gramEnd"/>
    </w:p>
    <w:p w:rsidR="00FB4D02" w:rsidRDefault="00FB4D02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b/>
          <w:bCs/>
        </w:rPr>
        <w:t>Требования к месту, условиям, объемам и срокам (периодам) поставки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</w:t>
      </w:r>
      <w:r w:rsidRPr="00A24064">
        <w:rPr>
          <w:b/>
          <w:sz w:val="22"/>
          <w:szCs w:val="23"/>
        </w:rPr>
        <w:t>Ростовской области</w:t>
      </w:r>
      <w:r w:rsidRPr="00152061">
        <w:rPr>
          <w:sz w:val="22"/>
          <w:szCs w:val="23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FB4D02" w:rsidRDefault="00FB4D02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  <w:r>
        <w:rPr>
          <w:szCs w:val="23"/>
        </w:rPr>
        <w:t>Таблица №1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255"/>
        <w:gridCol w:w="872"/>
        <w:gridCol w:w="992"/>
        <w:gridCol w:w="1417"/>
      </w:tblGrid>
      <w:tr w:rsidR="002C2036" w:rsidTr="004E5CAA">
        <w:tc>
          <w:tcPr>
            <w:tcW w:w="1668" w:type="dxa"/>
            <w:vAlign w:val="center"/>
          </w:tcPr>
          <w:p w:rsidR="002C2036" w:rsidRDefault="002C2036" w:rsidP="001B1AB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Товара</w:t>
            </w:r>
          </w:p>
        </w:tc>
        <w:tc>
          <w:tcPr>
            <w:tcW w:w="4677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72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Кол-во (шт.)</w:t>
            </w:r>
          </w:p>
        </w:tc>
        <w:tc>
          <w:tcPr>
            <w:tcW w:w="992" w:type="dxa"/>
            <w:vAlign w:val="center"/>
          </w:tcPr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ед.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Align w:val="center"/>
          </w:tcPr>
          <w:p w:rsidR="002C2036" w:rsidRDefault="002C2036" w:rsidP="001B1ABC">
            <w:pPr>
              <w:ind w:right="-10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Суммарная стоимость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C2036" w:rsidTr="004E5CAA">
        <w:tc>
          <w:tcPr>
            <w:tcW w:w="1668" w:type="dxa"/>
            <w:vAlign w:val="center"/>
          </w:tcPr>
          <w:p w:rsidR="002C2036" w:rsidRPr="00A965B9" w:rsidRDefault="002C2036" w:rsidP="00D64E8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Впитывающие простыни (пеленки) размером не менее 40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400 до 500 мл)</w:t>
            </w:r>
          </w:p>
        </w:tc>
        <w:tc>
          <w:tcPr>
            <w:tcW w:w="4677" w:type="dxa"/>
          </w:tcPr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Маркировка упаковки впитывающих простыней (пелёнок)  должна включать: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товара 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</w:t>
            </w:r>
            <w:r w:rsidRPr="00A24064">
              <w:rPr>
                <w:rFonts w:eastAsia="Microsoft YaHei"/>
                <w:sz w:val="18"/>
                <w:szCs w:val="18"/>
              </w:rPr>
              <w:lastRenderedPageBreak/>
              <w:t xml:space="preserve">(пелёнки) должны соответствовать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Место, условия и сроки (периоды) поставки впитывающих простыней (пелёнок):</w:t>
            </w:r>
          </w:p>
          <w:p w:rsidR="002C2036" w:rsidRPr="00A965B9" w:rsidRDefault="00A24064" w:rsidP="00A24064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20.12.2019 г.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3A6D50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3A6D5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  <w:r w:rsidR="003A6D5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C2036" w:rsidRPr="00A965B9" w:rsidRDefault="003A6D50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54 521,10</w:t>
            </w:r>
          </w:p>
        </w:tc>
      </w:tr>
      <w:tr w:rsidR="002C2036" w:rsidTr="004E5CAA">
        <w:tc>
          <w:tcPr>
            <w:tcW w:w="1668" w:type="dxa"/>
            <w:vAlign w:val="center"/>
          </w:tcPr>
          <w:p w:rsidR="002C2036" w:rsidRPr="00A965B9" w:rsidRDefault="002C2036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800 до 1200 мл)</w:t>
            </w:r>
          </w:p>
        </w:tc>
        <w:tc>
          <w:tcPr>
            <w:tcW w:w="4677" w:type="dxa"/>
          </w:tcPr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условное обозначение группы впитывающих простыней (пелёнок), товарную марку, обозначение размера товара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52770-2016 </w:t>
            </w:r>
            <w:r w:rsidRPr="00A24064">
              <w:rPr>
                <w:rFonts w:eastAsia="Microsoft YaHei"/>
                <w:sz w:val="18"/>
                <w:szCs w:val="18"/>
              </w:rPr>
              <w:lastRenderedPageBreak/>
              <w:t xml:space="preserve">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Место, условия и сроки (периоды) поставки впитывающих простыней (пелёнок):</w:t>
            </w:r>
          </w:p>
          <w:p w:rsidR="002C2036" w:rsidRPr="00A965B9" w:rsidRDefault="00A24064" w:rsidP="00A24064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A24064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</w:t>
            </w:r>
            <w:r w:rsidRPr="00A24064">
              <w:rPr>
                <w:rFonts w:eastAsia="Microsoft YaHe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1D75EB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26 760</w:t>
            </w:r>
          </w:p>
        </w:tc>
        <w:tc>
          <w:tcPr>
            <w:tcW w:w="992" w:type="dxa"/>
            <w:vAlign w:val="center"/>
          </w:tcPr>
          <w:p w:rsidR="002C2036" w:rsidRPr="00A965B9" w:rsidRDefault="00A71A1E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13,53</w:t>
            </w:r>
          </w:p>
        </w:tc>
        <w:tc>
          <w:tcPr>
            <w:tcW w:w="1417" w:type="dxa"/>
            <w:vAlign w:val="center"/>
          </w:tcPr>
          <w:p w:rsidR="002C2036" w:rsidRPr="00A965B9" w:rsidRDefault="00A71A1E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362 062,80</w:t>
            </w:r>
          </w:p>
        </w:tc>
      </w:tr>
      <w:tr w:rsidR="002C2036" w:rsidTr="004E5CAA">
        <w:tc>
          <w:tcPr>
            <w:tcW w:w="1668" w:type="dxa"/>
            <w:vAlign w:val="center"/>
          </w:tcPr>
          <w:p w:rsidR="002C2036" w:rsidRPr="00A965B9" w:rsidRDefault="002C2036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90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4677" w:type="dxa"/>
          </w:tcPr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 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товар;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</w:t>
            </w:r>
            <w:r w:rsidRPr="00A24064">
              <w:rPr>
                <w:rFonts w:eastAsia="Microsoft YaHei"/>
                <w:sz w:val="18"/>
                <w:szCs w:val="18"/>
              </w:rPr>
              <w:lastRenderedPageBreak/>
              <w:t xml:space="preserve">санитарно-химических и токсикологических испытаний»,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Место, условия и сроки (периоды) поставки впитывающих простыней (пелёнок):</w:t>
            </w:r>
          </w:p>
          <w:p w:rsidR="002C2036" w:rsidRPr="00A965B9" w:rsidRDefault="00A24064" w:rsidP="00A24064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A24064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</w:t>
            </w:r>
            <w:r w:rsidR="0089122C">
              <w:rPr>
                <w:rFonts w:eastAsia="Microsoft YaHe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1D75EB" w:rsidP="00A71A1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271 9</w:t>
            </w:r>
            <w:r w:rsidR="00A71A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2036" w:rsidRPr="00A965B9" w:rsidRDefault="00A71A1E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15,92</w:t>
            </w:r>
          </w:p>
        </w:tc>
        <w:tc>
          <w:tcPr>
            <w:tcW w:w="1417" w:type="dxa"/>
            <w:vAlign w:val="center"/>
          </w:tcPr>
          <w:p w:rsidR="002C2036" w:rsidRPr="00A965B9" w:rsidRDefault="00A71A1E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4 328 966,40</w:t>
            </w:r>
          </w:p>
        </w:tc>
      </w:tr>
      <w:tr w:rsidR="002C2036" w:rsidTr="002C2036">
        <w:tc>
          <w:tcPr>
            <w:tcW w:w="6345" w:type="dxa"/>
            <w:gridSpan w:val="2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5568ED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5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2C2036" w:rsidRPr="005568ED" w:rsidRDefault="00CD1322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303 450</w:t>
            </w:r>
          </w:p>
        </w:tc>
        <w:tc>
          <w:tcPr>
            <w:tcW w:w="992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036" w:rsidRPr="005568ED" w:rsidRDefault="00CD1322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4 745 550,30</w:t>
            </w:r>
          </w:p>
        </w:tc>
      </w:tr>
    </w:tbl>
    <w:p w:rsidR="00A965B9" w:rsidRDefault="00A965B9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</w:p>
    <w:p w:rsidR="005568ED" w:rsidRDefault="005568ED" w:rsidP="005568ED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5568ED">
        <w:rPr>
          <w:sz w:val="22"/>
          <w:szCs w:val="22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C34759" w:rsidRPr="00025860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C34759" w:rsidRPr="00025860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1. По месту нахождения пунктов выдачи, организованных Поставщиком, в день обращения Получателя:</w:t>
      </w:r>
    </w:p>
    <w:p w:rsidR="00C34759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- для инвалидов, проживающих в Ростовской области - Пункты выдачи должны быть организованы Поставщиком в городах Ростовской области, в частности г. Ростове-на-Дону, г. Таганроге. Дополнительные пункты выдачи могут быть организованы в иных городах Ростовской области по выбору поставщика.</w:t>
      </w:r>
    </w:p>
    <w:p w:rsidR="00C34759" w:rsidRDefault="00C34759" w:rsidP="00C347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53C70">
        <w:rPr>
          <w:sz w:val="22"/>
          <w:szCs w:val="22"/>
        </w:rPr>
        <w:t>Поставка товара осуществляется непосредственно Получателю по месту жительства</w:t>
      </w:r>
      <w:r>
        <w:rPr>
          <w:sz w:val="22"/>
          <w:szCs w:val="22"/>
        </w:rPr>
        <w:t xml:space="preserve"> </w:t>
      </w:r>
      <w:r w:rsidRPr="00153C70">
        <w:rPr>
          <w:sz w:val="22"/>
          <w:szCs w:val="22"/>
        </w:rPr>
        <w:t xml:space="preserve"> в течение 30 (Тридцати) календарных дней с момента получения </w:t>
      </w:r>
      <w:r>
        <w:rPr>
          <w:sz w:val="22"/>
          <w:szCs w:val="22"/>
        </w:rPr>
        <w:t>Р</w:t>
      </w:r>
      <w:r w:rsidRPr="00153C70">
        <w:rPr>
          <w:sz w:val="22"/>
          <w:szCs w:val="22"/>
        </w:rPr>
        <w:t xml:space="preserve">еестров </w:t>
      </w:r>
      <w:r>
        <w:rPr>
          <w:sz w:val="22"/>
          <w:szCs w:val="22"/>
        </w:rPr>
        <w:t>п</w:t>
      </w:r>
      <w:r w:rsidRPr="00153C70">
        <w:rPr>
          <w:sz w:val="22"/>
          <w:szCs w:val="22"/>
        </w:rPr>
        <w:t>олучателей, сформированных по заявкам инвалидов</w:t>
      </w:r>
      <w:r>
        <w:rPr>
          <w:sz w:val="22"/>
          <w:szCs w:val="22"/>
        </w:rPr>
        <w:t xml:space="preserve">, в соответствии выбором Получателя, </w:t>
      </w:r>
      <w:r w:rsidRPr="005568ED">
        <w:rPr>
          <w:sz w:val="22"/>
          <w:szCs w:val="22"/>
        </w:rPr>
        <w:t xml:space="preserve">но </w:t>
      </w:r>
      <w:r w:rsidRPr="005568ED">
        <w:rPr>
          <w:b/>
          <w:sz w:val="22"/>
          <w:szCs w:val="22"/>
        </w:rPr>
        <w:t>не позднее 20.12.201</w:t>
      </w:r>
      <w:r w:rsidR="0089122C">
        <w:rPr>
          <w:b/>
          <w:sz w:val="22"/>
          <w:szCs w:val="22"/>
        </w:rPr>
        <w:t>9</w:t>
      </w:r>
      <w:bookmarkStart w:id="0" w:name="_GoBack"/>
      <w:bookmarkEnd w:id="0"/>
      <w:r w:rsidRPr="005568ED">
        <w:rPr>
          <w:b/>
          <w:sz w:val="22"/>
          <w:szCs w:val="22"/>
        </w:rPr>
        <w:t xml:space="preserve"> года</w:t>
      </w:r>
      <w:r w:rsidRPr="005568ED">
        <w:rPr>
          <w:sz w:val="22"/>
          <w:szCs w:val="22"/>
        </w:rPr>
        <w:t>:</w:t>
      </w:r>
    </w:p>
    <w:p w:rsidR="00C34759" w:rsidRPr="005568ED" w:rsidRDefault="00C34759" w:rsidP="00C34759">
      <w:pPr>
        <w:ind w:firstLine="709"/>
        <w:jc w:val="both"/>
      </w:pPr>
      <w:proofErr w:type="gramStart"/>
      <w:r w:rsidRPr="005568ED">
        <w:rPr>
          <w:sz w:val="22"/>
          <w:szCs w:val="22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5568ED">
        <w:rPr>
          <w:sz w:val="22"/>
          <w:szCs w:val="22"/>
        </w:rPr>
        <w:t>Мясниковский</w:t>
      </w:r>
      <w:proofErr w:type="spellEnd"/>
      <w:r w:rsidRPr="005568ED">
        <w:rPr>
          <w:sz w:val="22"/>
          <w:szCs w:val="22"/>
        </w:rPr>
        <w:t xml:space="preserve">,  </w:t>
      </w:r>
      <w:proofErr w:type="spellStart"/>
      <w:r w:rsidRPr="005568ED">
        <w:rPr>
          <w:sz w:val="22"/>
          <w:szCs w:val="22"/>
        </w:rPr>
        <w:t>Родионово</w:t>
      </w:r>
      <w:proofErr w:type="spellEnd"/>
      <w:r w:rsidRPr="005568ED">
        <w:rPr>
          <w:sz w:val="22"/>
          <w:szCs w:val="22"/>
        </w:rPr>
        <w:t xml:space="preserve"> - </w:t>
      </w:r>
      <w:proofErr w:type="spellStart"/>
      <w:r w:rsidRPr="005568ED">
        <w:rPr>
          <w:sz w:val="22"/>
          <w:szCs w:val="22"/>
        </w:rPr>
        <w:t>Несветайский</w:t>
      </w:r>
      <w:proofErr w:type="spellEnd"/>
      <w:r w:rsidRPr="005568ED">
        <w:rPr>
          <w:sz w:val="22"/>
          <w:szCs w:val="22"/>
        </w:rPr>
        <w:t xml:space="preserve"> районы, г. Аксай, </w:t>
      </w:r>
      <w:proofErr w:type="spellStart"/>
      <w:r w:rsidRPr="005568ED">
        <w:rPr>
          <w:sz w:val="22"/>
          <w:szCs w:val="22"/>
        </w:rPr>
        <w:t>Аксайский</w:t>
      </w:r>
      <w:proofErr w:type="spellEnd"/>
      <w:r w:rsidRPr="005568ED"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568ED">
        <w:rPr>
          <w:sz w:val="22"/>
          <w:szCs w:val="22"/>
        </w:rPr>
        <w:t>Мартыновский</w:t>
      </w:r>
      <w:proofErr w:type="spellEnd"/>
      <w:r w:rsidRPr="005568ED">
        <w:rPr>
          <w:sz w:val="22"/>
          <w:szCs w:val="22"/>
        </w:rPr>
        <w:t xml:space="preserve"> районы, г. Миллерово, Миллеровский, </w:t>
      </w:r>
      <w:proofErr w:type="spellStart"/>
      <w:r w:rsidRPr="005568ED">
        <w:rPr>
          <w:sz w:val="22"/>
          <w:szCs w:val="22"/>
        </w:rPr>
        <w:t>Кашарский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Чертковский</w:t>
      </w:r>
      <w:proofErr w:type="spellEnd"/>
      <w:r w:rsidRPr="005568ED">
        <w:rPr>
          <w:sz w:val="22"/>
          <w:szCs w:val="22"/>
        </w:rPr>
        <w:t xml:space="preserve">, В-Донской, Шолоховский, </w:t>
      </w:r>
      <w:proofErr w:type="spellStart"/>
      <w:r w:rsidRPr="005568ED">
        <w:rPr>
          <w:sz w:val="22"/>
          <w:szCs w:val="22"/>
        </w:rPr>
        <w:t>Боковский</w:t>
      </w:r>
      <w:proofErr w:type="spellEnd"/>
      <w:r w:rsidRPr="005568ED">
        <w:rPr>
          <w:sz w:val="22"/>
          <w:szCs w:val="22"/>
        </w:rPr>
        <w:t xml:space="preserve"> районы, г. Зерноград, Зерноградский, </w:t>
      </w:r>
      <w:proofErr w:type="spellStart"/>
      <w:r w:rsidRPr="005568ED">
        <w:rPr>
          <w:sz w:val="22"/>
          <w:szCs w:val="22"/>
        </w:rPr>
        <w:t>Егорлыкский</w:t>
      </w:r>
      <w:proofErr w:type="spellEnd"/>
      <w:r w:rsidRPr="005568ED">
        <w:rPr>
          <w:sz w:val="22"/>
          <w:szCs w:val="22"/>
        </w:rPr>
        <w:t xml:space="preserve"> районы, Батайск, </w:t>
      </w:r>
      <w:proofErr w:type="spellStart"/>
      <w:r w:rsidRPr="005568ED">
        <w:rPr>
          <w:sz w:val="22"/>
          <w:szCs w:val="22"/>
        </w:rPr>
        <w:t>Кагальницкий</w:t>
      </w:r>
      <w:proofErr w:type="spellEnd"/>
      <w:r w:rsidRPr="005568ED"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568ED">
        <w:rPr>
          <w:sz w:val="22"/>
          <w:szCs w:val="22"/>
        </w:rPr>
        <w:t>Неклиновский</w:t>
      </w:r>
      <w:proofErr w:type="spellEnd"/>
      <w:r w:rsidRPr="005568ED">
        <w:rPr>
          <w:sz w:val="22"/>
          <w:szCs w:val="22"/>
        </w:rPr>
        <w:t>, Куйбышевский районы, г. Белая Калитва</w:t>
      </w:r>
      <w:proofErr w:type="gramEnd"/>
      <w:r w:rsidRPr="005568ED">
        <w:rPr>
          <w:sz w:val="22"/>
          <w:szCs w:val="22"/>
        </w:rPr>
        <w:t xml:space="preserve">, </w:t>
      </w:r>
      <w:proofErr w:type="spellStart"/>
      <w:proofErr w:type="gramStart"/>
      <w:r w:rsidRPr="005568ED">
        <w:rPr>
          <w:sz w:val="22"/>
          <w:szCs w:val="22"/>
        </w:rPr>
        <w:t>Белокалитвенский</w:t>
      </w:r>
      <w:proofErr w:type="spellEnd"/>
      <w:r w:rsidRPr="005568ED"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5568ED">
        <w:rPr>
          <w:sz w:val="22"/>
          <w:szCs w:val="22"/>
        </w:rPr>
        <w:t>Волгодонской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Цимлянский</w:t>
      </w:r>
      <w:proofErr w:type="spellEnd"/>
      <w:r w:rsidRPr="005568ED"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568ED">
        <w:rPr>
          <w:sz w:val="22"/>
          <w:szCs w:val="22"/>
        </w:rPr>
        <w:t>Сальский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Песчанокопский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Целинский</w:t>
      </w:r>
      <w:proofErr w:type="spellEnd"/>
      <w:r w:rsidRPr="005568ED">
        <w:rPr>
          <w:sz w:val="22"/>
          <w:szCs w:val="22"/>
        </w:rPr>
        <w:t xml:space="preserve"> районы, п. Зимовники, </w:t>
      </w:r>
      <w:proofErr w:type="spellStart"/>
      <w:r w:rsidRPr="005568ED">
        <w:rPr>
          <w:sz w:val="22"/>
          <w:szCs w:val="22"/>
        </w:rPr>
        <w:t>Зимовниковский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Заветинский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Дубовский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Ремонтненский</w:t>
      </w:r>
      <w:proofErr w:type="spellEnd"/>
      <w:r w:rsidRPr="005568ED"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568ED">
        <w:rPr>
          <w:sz w:val="22"/>
          <w:szCs w:val="22"/>
        </w:rPr>
        <w:t>Милютинский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Обливский</w:t>
      </w:r>
      <w:proofErr w:type="spellEnd"/>
      <w:r w:rsidRPr="005568ED">
        <w:rPr>
          <w:sz w:val="22"/>
          <w:szCs w:val="22"/>
        </w:rPr>
        <w:t xml:space="preserve"> районы.</w:t>
      </w:r>
      <w:proofErr w:type="gramEnd"/>
    </w:p>
    <w:p w:rsidR="00C34759" w:rsidRPr="00152061" w:rsidRDefault="00C34759" w:rsidP="00C34759">
      <w:pPr>
        <w:ind w:firstLine="709"/>
        <w:jc w:val="both"/>
      </w:pPr>
    </w:p>
    <w:p w:rsidR="00464B7B" w:rsidRDefault="00464B7B" w:rsidP="00C34759">
      <w:pPr>
        <w:suppressAutoHyphens/>
        <w:ind w:firstLine="709"/>
        <w:jc w:val="both"/>
      </w:pPr>
    </w:p>
    <w:sectPr w:rsidR="00464B7B" w:rsidSect="00762D5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7"/>
    <w:rsid w:val="00037293"/>
    <w:rsid w:val="000E2BF9"/>
    <w:rsid w:val="00103FB2"/>
    <w:rsid w:val="00153C70"/>
    <w:rsid w:val="00194357"/>
    <w:rsid w:val="001B1ABC"/>
    <w:rsid w:val="001B7CBA"/>
    <w:rsid w:val="001D75EB"/>
    <w:rsid w:val="001F5BC7"/>
    <w:rsid w:val="002C2036"/>
    <w:rsid w:val="002F5428"/>
    <w:rsid w:val="003A6D50"/>
    <w:rsid w:val="003F3D82"/>
    <w:rsid w:val="00432576"/>
    <w:rsid w:val="00464B7B"/>
    <w:rsid w:val="004E5CAA"/>
    <w:rsid w:val="005374EE"/>
    <w:rsid w:val="005568ED"/>
    <w:rsid w:val="005E7997"/>
    <w:rsid w:val="0060434B"/>
    <w:rsid w:val="00660C3C"/>
    <w:rsid w:val="006B1A45"/>
    <w:rsid w:val="00762D5E"/>
    <w:rsid w:val="0089122C"/>
    <w:rsid w:val="00A02F79"/>
    <w:rsid w:val="00A24064"/>
    <w:rsid w:val="00A71A1E"/>
    <w:rsid w:val="00A965B9"/>
    <w:rsid w:val="00B00EA0"/>
    <w:rsid w:val="00B070E4"/>
    <w:rsid w:val="00B5027F"/>
    <w:rsid w:val="00C34759"/>
    <w:rsid w:val="00C74844"/>
    <w:rsid w:val="00CD1322"/>
    <w:rsid w:val="00D1191B"/>
    <w:rsid w:val="00D64E82"/>
    <w:rsid w:val="00E421EE"/>
    <w:rsid w:val="00EB179C"/>
    <w:rsid w:val="00F1064F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lepehin</cp:lastModifiedBy>
  <cp:revision>39</cp:revision>
  <dcterms:created xsi:type="dcterms:W3CDTF">2018-11-29T07:47:00Z</dcterms:created>
  <dcterms:modified xsi:type="dcterms:W3CDTF">2019-04-05T10:21:00Z</dcterms:modified>
</cp:coreProperties>
</file>