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E6" w:rsidRDefault="002A25E6" w:rsidP="002A25E6">
      <w:pPr>
        <w:pStyle w:val="21"/>
        <w:widowControl w:val="0"/>
        <w:autoSpaceDE/>
        <w:autoSpaceDN w:val="0"/>
        <w:spacing w:before="60"/>
        <w:jc w:val="center"/>
        <w:rPr>
          <w:bCs w:val="0"/>
        </w:rPr>
      </w:pPr>
      <w:r>
        <w:rPr>
          <w:bCs w:val="0"/>
        </w:rPr>
        <w:t>Техническое задание</w:t>
      </w:r>
    </w:p>
    <w:p w:rsidR="002A25E6" w:rsidRDefault="002A25E6" w:rsidP="002A25E6">
      <w:pPr>
        <w:pStyle w:val="21"/>
        <w:widowControl w:val="0"/>
        <w:autoSpaceDE/>
        <w:autoSpaceDN w:val="0"/>
        <w:spacing w:before="60"/>
      </w:pPr>
      <w:r>
        <w:rPr>
          <w:bCs w:val="0"/>
        </w:rPr>
        <w:t xml:space="preserve">1. Наименование объекта закупки: </w:t>
      </w:r>
      <w:r>
        <w:rPr>
          <w:b w:val="0"/>
          <w:color w:val="000000"/>
          <w:szCs w:val="24"/>
        </w:rPr>
        <w:t>выполнение работ по изготовлению протезно-ортопедических изделий (протезов бедра) для пострадавших вследствие  несчастных случаев на производстве.</w:t>
      </w:r>
      <w:r>
        <w:t xml:space="preserve"> </w:t>
      </w:r>
    </w:p>
    <w:p w:rsidR="002A25E6" w:rsidRDefault="002A25E6" w:rsidP="002A25E6">
      <w:pPr>
        <w:pStyle w:val="21"/>
        <w:widowControl w:val="0"/>
        <w:autoSpaceDE/>
        <w:autoSpaceDN w:val="0"/>
        <w:spacing w:before="60"/>
        <w:rPr>
          <w:color w:val="000000"/>
        </w:rPr>
      </w:pPr>
      <w:r>
        <w:t xml:space="preserve">2. </w:t>
      </w:r>
      <w:r>
        <w:rPr>
          <w:color w:val="000000"/>
        </w:rPr>
        <w:t xml:space="preserve">Описание объекта закупки: </w:t>
      </w:r>
    </w:p>
    <w:p w:rsidR="002A25E6" w:rsidRDefault="002A25E6" w:rsidP="002A25E6">
      <w:pPr>
        <w:widowControl w:val="0"/>
        <w:suppressAutoHyphens/>
        <w:autoSpaceDE w:val="0"/>
        <w:autoSpaceDN w:val="0"/>
        <w:adjustRightInd w:val="0"/>
        <w:spacing w:before="60"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- функциональные, технические, качественные и эксплуатационные характеристики:</w:t>
      </w:r>
    </w:p>
    <w:p w:rsidR="002A25E6" w:rsidRDefault="002A25E6" w:rsidP="002A25E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ab/>
      </w:r>
      <w:r>
        <w:rPr>
          <w:rFonts w:eastAsia="Arial"/>
          <w:lang w:eastAsia="ar-SA"/>
        </w:rPr>
        <w:t xml:space="preserve">Выполняемые работы по изготовлению </w:t>
      </w:r>
      <w:r>
        <w:rPr>
          <w:rFonts w:eastAsia="Arial"/>
          <w:color w:val="000000"/>
          <w:lang w:eastAsia="ar-SA"/>
        </w:rPr>
        <w:t>протезов бедра</w:t>
      </w:r>
      <w:r>
        <w:rPr>
          <w:rFonts w:eastAsia="Arial"/>
          <w:lang w:eastAsia="ar-SA"/>
        </w:rPr>
        <w:t xml:space="preserve"> должны содержать комплекс медицинских, технических и социальных мероприятий, проводимых с застрахованными, имеющими нарушения и (или) дефекты опорно-двигательного аппарата, в целях восстановления или компенсации ограничений жизнедеятельности.</w:t>
      </w:r>
    </w:p>
    <w:p w:rsidR="002A25E6" w:rsidRDefault="002A25E6" w:rsidP="002A25E6">
      <w:pPr>
        <w:suppressAutoHyphens/>
        <w:autoSpaceDE w:val="0"/>
        <w:spacing w:line="200" w:lineRule="atLeast"/>
        <w:jc w:val="both"/>
        <w:rPr>
          <w:b/>
          <w:bCs/>
          <w:lang w:eastAsia="ar-SA"/>
        </w:rPr>
      </w:pPr>
      <w:r>
        <w:rPr>
          <w:lang w:eastAsia="ar-SA"/>
        </w:rPr>
        <w:tab/>
        <w:t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 (или) устранение косметических дефектов конечности пациентов с помощью протезов.</w:t>
      </w:r>
      <w:r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ab/>
      </w:r>
    </w:p>
    <w:p w:rsidR="002A25E6" w:rsidRDefault="002A25E6" w:rsidP="002A25E6">
      <w:pPr>
        <w:suppressAutoHyphens/>
        <w:autoSpaceDE w:val="0"/>
        <w:spacing w:before="60"/>
        <w:ind w:firstLine="540"/>
        <w:jc w:val="both"/>
        <w:rPr>
          <w:i/>
          <w:sz w:val="22"/>
          <w:szCs w:val="22"/>
        </w:rPr>
      </w:pPr>
      <w:r>
        <w:rPr>
          <w:b/>
          <w:bCs/>
        </w:rPr>
        <w:t xml:space="preserve">                             </w:t>
      </w:r>
      <w:r>
        <w:rPr>
          <w:b/>
          <w:bCs/>
        </w:rPr>
        <w:t xml:space="preserve">                         </w:t>
      </w:r>
      <w:r>
        <w:rPr>
          <w:i/>
          <w:iCs/>
          <w:color w:val="000000"/>
          <w:lang w:eastAsia="ar-SA"/>
        </w:rPr>
        <w:t xml:space="preserve">Таблица №1 </w:t>
      </w:r>
      <w:r>
        <w:rPr>
          <w:i/>
          <w:sz w:val="22"/>
          <w:szCs w:val="22"/>
        </w:rPr>
        <w:t>«Наименование и характеристики изделия»</w:t>
      </w:r>
    </w:p>
    <w:tbl>
      <w:tblPr>
        <w:tblW w:w="103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4820"/>
        <w:gridCol w:w="1275"/>
        <w:gridCol w:w="988"/>
      </w:tblGrid>
      <w:tr w:rsidR="002A25E6" w:rsidTr="002A25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5E6" w:rsidRDefault="002A25E6">
            <w:pPr>
              <w:widowControl w:val="0"/>
              <w:suppressAutoHyphens/>
              <w:autoSpaceDE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5E6" w:rsidRDefault="002A25E6">
            <w:pPr>
              <w:widowControl w:val="0"/>
              <w:suppressAutoHyphens/>
              <w:autoSpaceDE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ОКПД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5E6" w:rsidRDefault="002A25E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изделия </w:t>
            </w:r>
          </w:p>
          <w:p w:rsidR="002A25E6" w:rsidRDefault="002A25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5E6" w:rsidRDefault="002A25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Характеристики изделия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5E6" w:rsidRDefault="002A25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Кол-во  </w:t>
            </w:r>
          </w:p>
          <w:p w:rsidR="002A25E6" w:rsidRDefault="002A25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/ед. измерения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5E6" w:rsidRDefault="002A25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Срок гарантии, мес.</w:t>
            </w:r>
          </w:p>
        </w:tc>
      </w:tr>
      <w:tr w:rsidR="002A25E6" w:rsidTr="002A25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5E6" w:rsidRDefault="002A25E6">
            <w:pPr>
              <w:widowControl w:val="0"/>
              <w:suppressAutoHyphens/>
              <w:autoSpaceDE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5E6" w:rsidRDefault="002A25E6">
            <w:pPr>
              <w:widowControl w:val="0"/>
              <w:suppressAutoHyphens/>
              <w:autoSpaceDE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5E6" w:rsidRDefault="002A25E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5E6" w:rsidRDefault="002A25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5E6" w:rsidRDefault="002A25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5E6" w:rsidRDefault="002A25E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</w:tr>
      <w:tr w:rsidR="002A25E6" w:rsidTr="002A25E6">
        <w:trPr>
          <w:trHeight w:val="2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E6" w:rsidRDefault="002A25E6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bCs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E6" w:rsidRDefault="002A25E6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bCs/>
                <w:kern w:val="2"/>
                <w:sz w:val="18"/>
                <w:szCs w:val="18"/>
                <w:lang w:eastAsia="ar-SA"/>
              </w:rPr>
              <w:t>32.50.22.190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E6" w:rsidRDefault="002A25E6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Протез бедра немодульный, в том числе при врожденном недоразвитии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E6" w:rsidRDefault="002A25E6">
            <w:pPr>
              <w:snapToGrid w:val="0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Протез бедра немодульного типа с формообразующей частью косметической облицовки. Косметическое покрытие облицовки - чулки ортопедические. Крепление протеза поясное. Стопа шарнирная, монолитная. Коленный шарнир одноосный беззамковый максимальной готовности для немодульных протезов. Материал облицовки - мягкий полиуретан (листовой поролон), материал покрытия облицовки - перлон, материал приемной гильзы - слоистый пластик на основе полиамидных смол, материал стопы - полиуретан. Протез комплектуется 4 чехлами шерстяными, 4 чехлами хлопчатобумажными. Тип протеза: постоянный.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E6" w:rsidRDefault="002A25E6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2 шт.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E6" w:rsidRDefault="002A25E6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12</w:t>
            </w:r>
          </w:p>
        </w:tc>
      </w:tr>
      <w:tr w:rsidR="002A25E6" w:rsidTr="002A25E6">
        <w:trPr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2A25E6" w:rsidTr="002A25E6">
        <w:trPr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2A25E6" w:rsidTr="002A25E6">
        <w:trPr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2A25E6" w:rsidTr="002A25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25E6" w:rsidRDefault="002A25E6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bCs/>
                <w:kern w:val="2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E6" w:rsidRDefault="002A25E6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bCs/>
                <w:kern w:val="2"/>
                <w:sz w:val="18"/>
                <w:szCs w:val="18"/>
                <w:lang w:eastAsia="ar-SA"/>
              </w:rPr>
              <w:t>32.50.22.190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E6" w:rsidRDefault="002A25E6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E6" w:rsidRDefault="002A25E6">
            <w:pPr>
              <w:snapToGrid w:val="0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Протез бедра модульного типа для пациентов с ограниченными возможностями с формообразующей частью косметической облицовки — модульной. Косметическое покрытие облицовки - чулки ортопедические. Приёмная гильза унифицированная (без пробных гильз) или индивидуальная (одна пробная гильза) (по медицинским показаниям).   Допускается применение вкладных гильз. Крепление протеза поясное, с использованием бандажа или вакуумное (по медицинским показаниям). Регулировочно-соединительные устройства должны соответствовать весу инвалида. Стопа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 (по медицинским показаниям), с двухступенчатой регулируемой пациентом высотой каблука. Коленный шарнир одноосный с ручным замком. материал облицовки - мягкий полиуретан или листовой поролон (по медицинским показаниям), материал покрытия облицовки - перлон или силон (по медицинским показаниям), материал унифицированной постоянной гильзы - дерево, слоистый пластик на основе полиамидных или акриловых смол (по медицинским показаниям), материал индивидуальной постоянной гильзы - литьевой слоистый пластик на основе полиамидных или акриловых смол или листовой термопластичный пластик (по медицинским показаниям), материал вкладной гильзы - вспененные материалы. Протез комплектуется 4 чехлами шерстяными, 4 чехлами хлопчатобумажными.  Тип протеза: постоянный.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E6" w:rsidRDefault="002A25E6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2 шт.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E6" w:rsidRDefault="002A25E6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12</w:t>
            </w:r>
          </w:p>
        </w:tc>
      </w:tr>
      <w:tr w:rsidR="002A25E6" w:rsidTr="002A25E6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5E6" w:rsidRDefault="002A25E6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2A25E6" w:rsidTr="002A25E6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5E6" w:rsidRDefault="002A25E6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2A25E6" w:rsidTr="002A25E6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5E6" w:rsidRDefault="002A25E6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2A25E6" w:rsidTr="002A25E6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E6" w:rsidRDefault="002A25E6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2A25E6" w:rsidTr="002A25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25E6" w:rsidRDefault="002A25E6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bCs/>
                <w:kern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E6" w:rsidRDefault="002A25E6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bCs/>
                <w:kern w:val="2"/>
                <w:sz w:val="18"/>
                <w:szCs w:val="18"/>
                <w:lang w:eastAsia="ar-SA"/>
              </w:rPr>
              <w:t>32.50.22.190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E6" w:rsidRDefault="002A25E6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Протез бедра модульный, в том числе при </w:t>
            </w:r>
            <w:r>
              <w:rPr>
                <w:kern w:val="2"/>
                <w:sz w:val="18"/>
                <w:szCs w:val="18"/>
                <w:lang w:eastAsia="ar-SA"/>
              </w:rPr>
              <w:lastRenderedPageBreak/>
              <w:t>врожденном недоразвитии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E6" w:rsidRDefault="002A25E6">
            <w:pPr>
              <w:snapToGrid w:val="0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lastRenderedPageBreak/>
              <w:t xml:space="preserve">Протез бедра модульного типа для пациентов с низким уровнем активности с формообразующей частью косметической облицовки — модульной. Косметическое </w:t>
            </w:r>
            <w:r>
              <w:rPr>
                <w:kern w:val="2"/>
                <w:sz w:val="18"/>
                <w:szCs w:val="18"/>
                <w:lang w:eastAsia="ar-SA"/>
              </w:rPr>
              <w:lastRenderedPageBreak/>
              <w:t xml:space="preserve">покрытие облицовки - чулки ортопедические. Приёмная гильза унифицированная (без пробных гильз) или индивидуальная (одна пробная гильза) (по медицинским показаниям). Допускается применение вкладных гильз. Крепление протеза поясное, с использованием бандажа или вакуумное (по медицинским показаниям). Регулировочно-соединительные устройства должны соответствовать весу инвалида. Стопа со средней степенью энергосбережения или стопа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 (по медицинским показаниям), с двухступенчатой регулируемой пациентом высотой каблука. Коленный шарнир полицентрический с «геометрическим замком» с зависимым механическим регулированием фаз сгибания-разгибания или коленный шарнир одноосный с механизмом торможения с зависимым механическим регулированием фаз сгибания-разгибания (по медицинским показаниям). Материал облицовки - мягкий полиуретан или листовой поролон (по медицинским показаниям), материал покрытия облицовки - перлон или силон (по медицинским показаниям), материал унифицированной постоянной гильзы - слоистый пластик на основе полиамидных или акриловых смол (по медицинским показаниям), материал индивидуальной постоянной гильзы - литьевой слоистый пластик на основе полиамидных или акриловых смол или листовой термопластичный пластик (по медицинским показаниям). Протез комплектуется 4 чехлами шерстяными, 4 чехлами хлопчатобумажными. Тип протеза: постоянный.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E6" w:rsidRDefault="002A25E6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lastRenderedPageBreak/>
              <w:t>6 шт.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E6" w:rsidRDefault="002A25E6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12</w:t>
            </w:r>
          </w:p>
        </w:tc>
      </w:tr>
      <w:tr w:rsidR="002A25E6" w:rsidTr="002A25E6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5E6" w:rsidRDefault="002A25E6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2A25E6" w:rsidTr="002A25E6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5E6" w:rsidRDefault="002A25E6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2A25E6" w:rsidTr="002A25E6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E6" w:rsidRDefault="002A25E6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E6" w:rsidRDefault="002A25E6">
            <w:pPr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2A25E6" w:rsidTr="002A25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E6" w:rsidRDefault="002A25E6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bCs/>
                <w:kern w:val="2"/>
                <w:sz w:val="18"/>
                <w:szCs w:val="18"/>
                <w:lang w:eastAsia="ar-SA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E6" w:rsidRDefault="002A25E6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bCs/>
                <w:kern w:val="2"/>
                <w:sz w:val="18"/>
                <w:szCs w:val="18"/>
                <w:lang w:eastAsia="ar-SA"/>
              </w:rPr>
              <w:t>32.50.22.190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E6" w:rsidRDefault="002A25E6">
            <w:pPr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E6" w:rsidRDefault="002A25E6">
            <w:pPr>
              <w:snapToGrid w:val="0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Протез бедра модульного типа для пациентов с неограниченными возможностями передвижения с формообразующей частью косметической облицовки — модульной. Косметическое покрытие облицовки - чулки ортопедические. Приёмная гильза индивидуальная (две пробные гильзы). В качестве вкладного элемента применяются чехлы, крепление с использованием замка или вакуумной мембраны (по медицинским показаниям). Регулировочно-соединительные устройства должны соответствовать весу инвалида. Стопа с высокой степенью энергосбережения. Коленный шарнир одноосный с механизмом торможения, отключающимся при переходе на передний отдел стопы, с независимым пневматическим регулированием фаз сгибания-разгибания. Должно применяться поворотное устройство. Материал облицовки - мягкий полиуретан или листовой поролон (по медицинским показаниям), материал покрытия облицовки - перлон или силон (по медицинским показаниям), материал индивидуальной постоянной гильзы - литьевой слоистый пластик на основе акриловых смол или листовой термопластичный пластик (по медицинским показаниям), материал вкладного элемента - чехлы полимерные гелевые. Протез комплектуется 4 чехлами шерстяными, 4 чехлами хлопчатобумажными. Тип протеза: постоянный.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E6" w:rsidRDefault="002A25E6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1 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E6" w:rsidRDefault="002A25E6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12</w:t>
            </w:r>
          </w:p>
        </w:tc>
      </w:tr>
    </w:tbl>
    <w:p w:rsidR="002A25E6" w:rsidRDefault="002A25E6" w:rsidP="002A25E6">
      <w:pPr>
        <w:autoSpaceDE w:val="0"/>
        <w:autoSpaceDN w:val="0"/>
        <w:adjustRightInd w:val="0"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Протезы бедра должны соответствовать требованиям </w:t>
      </w:r>
      <w:r>
        <w:rPr>
          <w:lang w:eastAsia="ar-SA"/>
        </w:rPr>
        <w:t xml:space="preserve">ГОСТ Р 51632-2014 «Технические средства реабилитации людей с ограничениями жизнедеятельности. Общие технические требования и методы испытаний», </w:t>
      </w:r>
      <w:r>
        <w:t>ГОСТ Р 52770-2016 «Изделия медицинские. Требования безопасности. Методы санитарно-химических и токсикологических испытаний</w:t>
      </w:r>
      <w:r>
        <w:rPr>
          <w:lang w:eastAsia="ar-SA"/>
        </w:rPr>
        <w:t xml:space="preserve">» </w:t>
      </w:r>
      <w:r>
        <w:rPr>
          <w:color w:val="000000"/>
          <w:lang w:eastAsia="ar-SA"/>
        </w:rPr>
        <w:t xml:space="preserve">или иным ГОСТам и ТУ к которым присоединился участник закупки. </w:t>
      </w:r>
    </w:p>
    <w:p w:rsidR="002A25E6" w:rsidRDefault="002A25E6" w:rsidP="002A25E6">
      <w:pPr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ab/>
      </w:r>
      <w:r>
        <w:rPr>
          <w:color w:val="000000"/>
          <w:lang w:eastAsia="ar-SA"/>
        </w:rPr>
        <w:t>Протезы бедра должны</w:t>
      </w:r>
      <w:r>
        <w:rPr>
          <w:lang w:eastAsia="ar-SA"/>
        </w:rPr>
        <w:t xml:space="preserve"> отвечать требованиям безопасности с отсутствием недопустимого риска, связанного с возможностью причинения вреда и (или) нанесения ущерба пользователю, а также для окружающих при эксплуатации в соответствии с нормативными требованиями.</w:t>
      </w:r>
    </w:p>
    <w:p w:rsidR="002A25E6" w:rsidRDefault="002A25E6" w:rsidP="002A25E6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Функциональны</w:t>
      </w:r>
      <w:bookmarkStart w:id="0" w:name="_GoBack"/>
      <w:bookmarkEnd w:id="0"/>
      <w:r>
        <w:rPr>
          <w:lang w:eastAsia="ar-SA"/>
        </w:rPr>
        <w:t>й узел протеза конечности выполняет заданную функцию и имеет конструктивно-технологическую завершенность.</w:t>
      </w:r>
    </w:p>
    <w:p w:rsidR="002A25E6" w:rsidRDefault="002A25E6" w:rsidP="002A25E6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lastRenderedPageBreak/>
        <w:t>Приемная гильза протеза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2A25E6" w:rsidRDefault="002A25E6" w:rsidP="002A25E6">
      <w:pPr>
        <w:suppressAutoHyphens/>
        <w:jc w:val="both"/>
        <w:rPr>
          <w:lang w:eastAsia="ar-SA"/>
        </w:rPr>
      </w:pPr>
      <w:r>
        <w:rPr>
          <w:lang w:eastAsia="ar-SA"/>
        </w:rPr>
        <w:tab/>
      </w:r>
      <w:r>
        <w:rPr>
          <w:color w:val="000000"/>
          <w:lang w:eastAsia="ar-SA"/>
        </w:rPr>
        <w:t>Протезы бедра должны</w:t>
      </w:r>
      <w:r>
        <w:rPr>
          <w:lang w:eastAsia="ar-SA"/>
        </w:rPr>
        <w:t xml:space="preserve"> соответствовать требованиям санитарно-эпидемиологической безопасности. Материалы, применяемые для изготовления п</w:t>
      </w:r>
      <w:r>
        <w:rPr>
          <w:color w:val="000000"/>
          <w:lang w:eastAsia="ar-SA"/>
        </w:rPr>
        <w:t xml:space="preserve">ротезов </w:t>
      </w:r>
      <w:r>
        <w:rPr>
          <w:lang w:eastAsia="ar-SA"/>
        </w:rPr>
        <w:t>не должны содержать ядовитых (токсичных) компонентов и должны быть разрешены к применению Министерством здравоохранения и социального развития Российской Федерации, а также не воздействовать на цвет поверхности (одежды, кожи пользователя), с которым контактирует изделие при его нормальной эксплуатации.</w:t>
      </w:r>
    </w:p>
    <w:p w:rsidR="002A25E6" w:rsidRDefault="002A25E6" w:rsidP="002A25E6">
      <w:pPr>
        <w:suppressAutoHyphens/>
        <w:adjustRightInd w:val="0"/>
        <w:ind w:firstLine="708"/>
        <w:jc w:val="both"/>
        <w:rPr>
          <w:lang w:eastAsia="ar-SA"/>
        </w:rPr>
      </w:pPr>
      <w:r>
        <w:rPr>
          <w:color w:val="000000"/>
          <w:lang w:eastAsia="ar-SA"/>
        </w:rPr>
        <w:t>Протезы бедра должны</w:t>
      </w:r>
      <w:r>
        <w:rPr>
          <w:rFonts w:eastAsia="Times New Roman CYR"/>
          <w:iCs/>
          <w:spacing w:val="4"/>
          <w:lang w:eastAsia="ar-SA"/>
        </w:rPr>
        <w:t xml:space="preserve"> иметь декларацию о соответствии или сертификат соответствия. </w:t>
      </w:r>
    </w:p>
    <w:p w:rsidR="002A25E6" w:rsidRDefault="002A25E6" w:rsidP="002A25E6">
      <w:pPr>
        <w:suppressAutoHyphens/>
        <w:jc w:val="both"/>
        <w:rPr>
          <w:bCs/>
          <w:color w:val="000000"/>
          <w:lang w:eastAsia="ar-SA"/>
        </w:rPr>
      </w:pPr>
      <w:r>
        <w:rPr>
          <w:sz w:val="16"/>
          <w:szCs w:val="16"/>
          <w:lang w:eastAsia="ar-SA"/>
        </w:rPr>
        <w:tab/>
      </w:r>
      <w:r>
        <w:rPr>
          <w:color w:val="000000"/>
          <w:lang w:eastAsia="ar-SA"/>
        </w:rPr>
        <w:t>Протезы бедра должны</w:t>
      </w:r>
      <w:r>
        <w:rPr>
          <w:bCs/>
          <w:color w:val="000000"/>
          <w:lang w:eastAsia="ar-SA"/>
        </w:rPr>
        <w:t xml:space="preserve"> быть новыми (не бывшими в употреблении, в ремонте, в том числе не были восстановлены, у которых не была осуществлена замена составных частей, не были восстановлены потребительские свойства).</w:t>
      </w:r>
    </w:p>
    <w:p w:rsidR="002A25E6" w:rsidRDefault="002A25E6" w:rsidP="002A25E6">
      <w:pPr>
        <w:suppressAutoHyphens/>
        <w:jc w:val="both"/>
        <w:rPr>
          <w:lang w:eastAsia="ar-SA"/>
        </w:rPr>
      </w:pPr>
      <w:r>
        <w:rPr>
          <w:lang w:eastAsia="ar-SA"/>
        </w:rPr>
        <w:tab/>
        <w:t>Описание объекта закупки подготовлено на основании:</w:t>
      </w:r>
    </w:p>
    <w:p w:rsidR="002A25E6" w:rsidRDefault="002A25E6" w:rsidP="002A25E6">
      <w:pPr>
        <w:autoSpaceDE w:val="0"/>
        <w:autoSpaceDN w:val="0"/>
        <w:adjustRightInd w:val="0"/>
        <w:jc w:val="both"/>
        <w:rPr>
          <w:lang w:eastAsia="ar-SA"/>
        </w:rPr>
      </w:pPr>
      <w:r>
        <w:t xml:space="preserve">"ГОСТ Р 51819-2017. Национальный стандарт Российской Федерации. Протезирование и ортезирование верхних и нижних конечностей. Термины и определения", </w:t>
      </w:r>
      <w:r>
        <w:rPr>
          <w:lang w:eastAsia="ar-SA"/>
        </w:rPr>
        <w:t xml:space="preserve">заключения врачебных комиссий, программ реабилитации пострадавших, в соответствии с Федеральным законом от 24.07.1998 №125–ФЗ «Об обязательном социальном страховании от несчастных случаев на производстве и профессиональных заболеваний» и Постановлением Правительства РФ от 15.05.2006 №286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заболеваний», а так же с учетом </w:t>
      </w:r>
      <w:r>
        <w:rPr>
          <w:rFonts w:eastAsia="Arial CYR"/>
          <w:lang w:eastAsia="ar-SA"/>
        </w:rPr>
        <w:t>антропометрических данных застрахованных</w:t>
      </w:r>
      <w:r>
        <w:rPr>
          <w:lang w:eastAsia="ar-SA"/>
        </w:rPr>
        <w:t>.</w:t>
      </w:r>
    </w:p>
    <w:p w:rsidR="002A25E6" w:rsidRDefault="002A25E6" w:rsidP="002A25E6">
      <w:pPr>
        <w:widowControl w:val="0"/>
        <w:autoSpaceDE w:val="0"/>
        <w:spacing w:line="200" w:lineRule="atLeast"/>
        <w:jc w:val="both"/>
        <w:rPr>
          <w:b/>
          <w:bCs/>
          <w:lang w:eastAsia="ar-SA"/>
        </w:rPr>
      </w:pPr>
      <w:r>
        <w:rPr>
          <w:b/>
          <w:bCs/>
        </w:rPr>
        <w:tab/>
      </w:r>
      <w:r>
        <w:rPr>
          <w:b/>
          <w:bCs/>
          <w:lang w:eastAsia="ar-SA"/>
        </w:rPr>
        <w:t xml:space="preserve">- требования к гарантийному сроку товара, работы, услуги и (или) объему предоставления гарантий их качества, к  гарантийному обслуживанию: </w:t>
      </w:r>
    </w:p>
    <w:p w:rsidR="002A25E6" w:rsidRDefault="002A25E6" w:rsidP="002A25E6">
      <w:pPr>
        <w:widowControl w:val="0"/>
        <w:autoSpaceDE w:val="0"/>
        <w:spacing w:line="200" w:lineRule="atLeast"/>
        <w:jc w:val="both"/>
        <w:rPr>
          <w:lang w:eastAsia="ar-SA"/>
        </w:rPr>
      </w:pPr>
      <w:r>
        <w:rPr>
          <w:b/>
          <w:bCs/>
          <w:lang w:eastAsia="ar-SA"/>
        </w:rPr>
        <w:t xml:space="preserve">          </w:t>
      </w:r>
      <w:r>
        <w:rPr>
          <w:color w:val="000000"/>
          <w:lang w:eastAsia="ar-SA"/>
        </w:rPr>
        <w:t>Протезно-ортопедические изделия</w:t>
      </w:r>
      <w:r>
        <w:rPr>
          <w:lang w:eastAsia="ar-SA"/>
        </w:rPr>
        <w:t xml:space="preserve"> должны иметь гарантийный срок (см. Табл. №1) с момента передачи их застрахованным. Обязательно наличие гарантийного талона, дающего право на бесплатный ремонт во время гарантийного срока.</w:t>
      </w:r>
    </w:p>
    <w:p w:rsidR="002A25E6" w:rsidRDefault="002A25E6" w:rsidP="002A25E6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lang w:eastAsia="ar-SA"/>
        </w:rPr>
        <w:t>Гарантийный срок не распространяется на случаи нарушения застрахованным условий и требований к его эксплуатации.</w:t>
      </w:r>
    </w:p>
    <w:p w:rsidR="002A25E6" w:rsidRDefault="002A25E6" w:rsidP="002A25E6">
      <w:pPr>
        <w:suppressAutoHyphens/>
        <w:autoSpaceDE w:val="0"/>
        <w:ind w:firstLine="709"/>
        <w:jc w:val="both"/>
        <w:rPr>
          <w:lang w:eastAsia="ar-SA"/>
        </w:rPr>
      </w:pPr>
      <w:r>
        <w:rPr>
          <w:color w:val="000000"/>
          <w:lang w:eastAsia="ar-SA"/>
        </w:rPr>
        <w:t>Протезно-ортопедические изделия</w:t>
      </w:r>
      <w:r>
        <w:rPr>
          <w:lang w:eastAsia="ar-SA"/>
        </w:rPr>
        <w:t xml:space="preserve"> должны иметь </w:t>
      </w:r>
      <w:r>
        <w:rPr>
          <w:rFonts w:eastAsia="Calibri"/>
          <w:lang w:eastAsia="ar-SA"/>
        </w:rPr>
        <w:t>установленный производителем срок</w:t>
      </w:r>
      <w:r>
        <w:rPr>
          <w:lang w:eastAsia="ar-SA"/>
        </w:rPr>
        <w:t xml:space="preserve"> службы с момента передачи его застрахованному не менее срока пользования, утвержденного приказом Министерства здравоохранения и социального развития Российской Федерации от 13.02.2018 № 85н "Об утверждении сроков пользования техническими средствами реабилитации, протезами и протезно-ортопедическими изделиями до их замены".</w:t>
      </w:r>
    </w:p>
    <w:p w:rsidR="002A25E6" w:rsidRDefault="002A25E6" w:rsidP="002A25E6">
      <w:pPr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В течение гарантийного срока в случае обнаружения застрахованным недостатка в п</w:t>
      </w:r>
      <w:r>
        <w:rPr>
          <w:color w:val="000000"/>
          <w:lang w:eastAsia="ar-SA"/>
        </w:rPr>
        <w:t>ротезно-ортопедическом изделии</w:t>
      </w:r>
      <w:r>
        <w:rPr>
          <w:lang w:eastAsia="ar-SA"/>
        </w:rPr>
        <w:t xml:space="preserve"> Исполнителем должны быть обеспечены замена изделия на ту же модель либо безвозмездное устранение недостатков (гарантийный ремонт).</w:t>
      </w:r>
    </w:p>
    <w:p w:rsidR="002A25E6" w:rsidRDefault="002A25E6" w:rsidP="002A25E6">
      <w:pPr>
        <w:suppressAutoHyphens/>
        <w:autoSpaceDE w:val="0"/>
        <w:ind w:firstLine="709"/>
        <w:jc w:val="both"/>
        <w:rPr>
          <w:color w:val="FF0000"/>
          <w:lang w:eastAsia="ar-SA"/>
        </w:rPr>
      </w:pPr>
      <w:r>
        <w:rPr>
          <w:lang w:eastAsia="ar-SA"/>
        </w:rPr>
        <w:t>При этом срок безвозмездного устранения недостатков (гарантийного ремонта) со дня обращения Получателя не должен превышать 15 рабочих дней.</w:t>
      </w:r>
    </w:p>
    <w:p w:rsidR="002A25E6" w:rsidRDefault="002A25E6" w:rsidP="002A25E6">
      <w:pPr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В течение срока пользования п</w:t>
      </w:r>
      <w:r>
        <w:rPr>
          <w:color w:val="000000"/>
          <w:lang w:eastAsia="ar-SA"/>
        </w:rPr>
        <w:t>ротезно-ортопедическими изделиями</w:t>
      </w:r>
      <w:r>
        <w:rPr>
          <w:lang w:eastAsia="ar-SA"/>
        </w:rPr>
        <w:t xml:space="preserve"> Исполнителем должно быть обеспечено безвозмездное устранение недостатков - постгарантийный ремонт за счет собственных средств.</w:t>
      </w:r>
    </w:p>
    <w:p w:rsidR="002A25E6" w:rsidRDefault="002A25E6" w:rsidP="002A25E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00" w:lineRule="atLeast"/>
        <w:ind w:firstLine="720"/>
        <w:jc w:val="both"/>
        <w:rPr>
          <w:lang w:eastAsia="ar-SA"/>
        </w:rPr>
      </w:pPr>
      <w:r>
        <w:rPr>
          <w:lang w:eastAsia="ar-SA"/>
        </w:rPr>
        <w:t>Обеспечение возможности замены, ремонта, устранения недостатков должно осуществляться в соответствии с Законом РФ от 07.02.1992 г. № 2300-1 «О защите прав потребителей».</w:t>
      </w:r>
    </w:p>
    <w:p w:rsidR="002A25E6" w:rsidRDefault="002A25E6" w:rsidP="002A25E6">
      <w:pPr>
        <w:widowControl w:val="0"/>
        <w:autoSpaceDE w:val="0"/>
        <w:jc w:val="both"/>
        <w:rPr>
          <w:b/>
          <w:color w:val="000000"/>
        </w:rPr>
      </w:pPr>
    </w:p>
    <w:p w:rsidR="002A25E6" w:rsidRDefault="002A25E6" w:rsidP="002A25E6">
      <w:pPr>
        <w:widowControl w:val="0"/>
        <w:autoSpaceDE w:val="0"/>
        <w:jc w:val="both"/>
        <w:rPr>
          <w:b/>
          <w:color w:val="000000"/>
        </w:rPr>
      </w:pPr>
    </w:p>
    <w:p w:rsidR="002A25E6" w:rsidRDefault="002A25E6" w:rsidP="002A25E6">
      <w:pPr>
        <w:widowControl w:val="0"/>
        <w:autoSpaceDE w:val="0"/>
        <w:jc w:val="both"/>
        <w:rPr>
          <w:lang w:eastAsia="ar-SA"/>
        </w:rPr>
      </w:pPr>
      <w:r>
        <w:rPr>
          <w:b/>
          <w:color w:val="000000"/>
        </w:rPr>
        <w:lastRenderedPageBreak/>
        <w:t xml:space="preserve">3. </w:t>
      </w:r>
      <w:r>
        <w:rPr>
          <w:b/>
          <w:bCs/>
        </w:rPr>
        <w:t>Место выполнения работ, являющихся предметом контракта</w:t>
      </w:r>
      <w:r>
        <w:rPr>
          <w:b/>
          <w:color w:val="000000"/>
        </w:rPr>
        <w:t>:</w:t>
      </w:r>
      <w:r>
        <w:rPr>
          <w:lang w:eastAsia="ar-SA"/>
        </w:rPr>
        <w:t xml:space="preserve"> </w:t>
      </w:r>
    </w:p>
    <w:p w:rsidR="002A25E6" w:rsidRDefault="002A25E6" w:rsidP="002A25E6">
      <w:pPr>
        <w:suppressAutoHyphens/>
        <w:autoSpaceDE w:val="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Российская Федерация, место выполнения работ по изготовлению изделий определяется Исполнителем самостоятельно.</w:t>
      </w:r>
    </w:p>
    <w:p w:rsidR="002A25E6" w:rsidRDefault="002A25E6" w:rsidP="002A25E6">
      <w:pPr>
        <w:suppressAutoHyphens/>
        <w:autoSpaceDE w:val="0"/>
        <w:jc w:val="both"/>
        <w:rPr>
          <w:b/>
          <w:bCs/>
          <w:color w:val="000000"/>
          <w:lang w:eastAsia="ar-SA"/>
        </w:rPr>
      </w:pPr>
      <w:r>
        <w:rPr>
          <w:color w:val="000000"/>
          <w:lang w:eastAsia="ar-SA"/>
        </w:rPr>
        <w:t xml:space="preserve">Снятие мерок, примерка, подгонка и другие сопутствующие работы, требующие присутствия Получателей, доставка (передача) изделий - должны производиться по месту жительства Получателей (Брянская обл. Российской Федерации),  либо по согласованию с Получателями в городе Брянске в организованном пункте приема </w:t>
      </w:r>
    </w:p>
    <w:p w:rsidR="002A25E6" w:rsidRDefault="002A25E6" w:rsidP="002A25E6">
      <w:pPr>
        <w:pStyle w:val="22"/>
        <w:spacing w:line="200" w:lineRule="atLeast"/>
        <w:rPr>
          <w:sz w:val="24"/>
        </w:rPr>
      </w:pPr>
      <w:r>
        <w:rPr>
          <w:b/>
          <w:bCs w:val="0"/>
          <w:sz w:val="24"/>
        </w:rPr>
        <w:t>4. Срок завершения работы:</w:t>
      </w:r>
      <w:r>
        <w:rPr>
          <w:bCs w:val="0"/>
          <w:sz w:val="24"/>
        </w:rPr>
        <w:t xml:space="preserve"> с даты заключения контракта по 11 декабря 2019 года (по направлению Заказчика)</w:t>
      </w:r>
      <w:r>
        <w:rPr>
          <w:sz w:val="24"/>
        </w:rPr>
        <w:t>.</w:t>
      </w:r>
    </w:p>
    <w:p w:rsidR="002A25E6" w:rsidRDefault="002A25E6" w:rsidP="002A25E6">
      <w:pPr>
        <w:suppressAutoHyphens/>
        <w:autoSpaceDE w:val="0"/>
        <w:jc w:val="both"/>
        <w:rPr>
          <w:lang w:eastAsia="ar-SA"/>
        </w:rPr>
      </w:pPr>
      <w:r>
        <w:rPr>
          <w:bCs/>
          <w:lang w:eastAsia="ar-SA"/>
        </w:rPr>
        <w:t>Срок выполняемой работы не может превышать 60 календарных дней с момента предоставления Получателем Направления Исполнителю.</w:t>
      </w:r>
    </w:p>
    <w:p w:rsidR="00BA4512" w:rsidRDefault="00BA4512"/>
    <w:sectPr w:rsidR="00BA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E3"/>
    <w:rsid w:val="002A25E6"/>
    <w:rsid w:val="00BA4512"/>
    <w:rsid w:val="00F1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2A25E6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1">
    <w:name w:val="Основной текст 21"/>
    <w:basedOn w:val="a"/>
    <w:rsid w:val="002A25E6"/>
    <w:pPr>
      <w:suppressAutoHyphens/>
      <w:autoSpaceDE w:val="0"/>
      <w:spacing w:before="120"/>
      <w:jc w:val="both"/>
    </w:pPr>
    <w:rPr>
      <w:b/>
      <w:bCs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A25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5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2A25E6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1">
    <w:name w:val="Основной текст 21"/>
    <w:basedOn w:val="a"/>
    <w:rsid w:val="002A25E6"/>
    <w:pPr>
      <w:suppressAutoHyphens/>
      <w:autoSpaceDE w:val="0"/>
      <w:spacing w:before="120"/>
      <w:jc w:val="both"/>
    </w:pPr>
    <w:rPr>
      <w:b/>
      <w:bCs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A25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5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ROSK1</dc:creator>
  <cp:keywords/>
  <dc:description/>
  <cp:lastModifiedBy>ROSK1</cp:lastModifiedBy>
  <cp:revision>3</cp:revision>
  <cp:lastPrinted>2019-03-20T14:35:00Z</cp:lastPrinted>
  <dcterms:created xsi:type="dcterms:W3CDTF">2019-03-20T14:33:00Z</dcterms:created>
  <dcterms:modified xsi:type="dcterms:W3CDTF">2019-03-20T14:35:00Z</dcterms:modified>
</cp:coreProperties>
</file>