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Mangal"/>
          <w:b/>
          <w:color w:val="000000"/>
          <w:kern w:val="3"/>
          <w:sz w:val="24"/>
          <w:szCs w:val="24"/>
          <w:lang w:bidi="en-US"/>
        </w:rPr>
        <w:t>Техническое задание</w:t>
      </w:r>
    </w:p>
    <w:p w:rsidR="007B74A9" w:rsidRDefault="007B74A9" w:rsidP="007B74A9">
      <w:pPr>
        <w:tabs>
          <w:tab w:val="left" w:pos="259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</w:pPr>
    </w:p>
    <w:p w:rsidR="007B74A9" w:rsidRPr="007B74A9" w:rsidRDefault="007B74A9" w:rsidP="007B74A9">
      <w:pPr>
        <w:tabs>
          <w:tab w:val="left" w:pos="259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b/>
          <w:color w:val="000000"/>
          <w:kern w:val="3"/>
          <w:sz w:val="24"/>
          <w:szCs w:val="24"/>
          <w:lang w:bidi="en-US"/>
        </w:rPr>
        <w:t>1. Предмет заключения контракта</w:t>
      </w:r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:</w:t>
      </w:r>
    </w:p>
    <w:p w:rsidR="007B74A9" w:rsidRPr="007B74A9" w:rsidRDefault="007B74A9" w:rsidP="007B74A9">
      <w:pPr>
        <w:tabs>
          <w:tab w:val="left" w:pos="259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Выполнение работ по обеспечению инвалидов протезно-ортопедическими изделиями: протезами бедра.</w:t>
      </w:r>
    </w:p>
    <w:p w:rsidR="007B74A9" w:rsidRPr="007B74A9" w:rsidRDefault="007B74A9" w:rsidP="007B74A9">
      <w:pPr>
        <w:tabs>
          <w:tab w:val="left" w:pos="259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2. Обязательные условия:</w:t>
      </w:r>
    </w:p>
    <w:p w:rsidR="007B74A9" w:rsidRPr="007B74A9" w:rsidRDefault="007B74A9" w:rsidP="007B74A9">
      <w:pPr>
        <w:keepNext/>
        <w:keepLines/>
        <w:tabs>
          <w:tab w:val="left" w:pos="259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Требования к качеству изделия, к техническим характеристикам изделия, к безопасности изделия, к функциональным характеристикам (потребительским свойствам) изделия, к количественным и качественным характеристикам изделия, к комплектности и упаковке изделия, к отгрузке (передаче) изделия, к сроку и (или) объему предоставления гарантий качества изделия.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4"/>
          <w:szCs w:val="24"/>
          <w:lang w:bidi="en-US"/>
        </w:rPr>
      </w:pPr>
    </w:p>
    <w:p w:rsidR="007B74A9" w:rsidRPr="007B74A9" w:rsidRDefault="007B74A9" w:rsidP="007B74A9">
      <w:p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Mangal"/>
          <w:b/>
          <w:color w:val="000000"/>
          <w:kern w:val="3"/>
          <w:sz w:val="24"/>
          <w:szCs w:val="24"/>
          <w:lang w:bidi="en-US"/>
        </w:rPr>
        <w:t>Требования к количественным и качественным характеристикам</w:t>
      </w:r>
    </w:p>
    <w:tbl>
      <w:tblPr>
        <w:tblW w:w="9355" w:type="dxa"/>
        <w:tblInd w:w="-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"/>
        <w:gridCol w:w="8046"/>
        <w:gridCol w:w="900"/>
      </w:tblGrid>
      <w:tr w:rsidR="007B74A9" w:rsidRPr="007B74A9" w:rsidTr="00020FCD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suppressLineNumbers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0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74A9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Наименование изделия, работ, услуг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74A9">
              <w:rPr>
                <w:rFonts w:ascii="Times New Roman" w:eastAsia="Lucida Sans Unicode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Количество (шт.)</w:t>
            </w:r>
          </w:p>
        </w:tc>
      </w:tr>
      <w:tr w:rsidR="007B74A9" w:rsidRPr="007B74A9" w:rsidTr="00020FCD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keepLines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B74A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1</w:t>
            </w:r>
          </w:p>
        </w:tc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B74A9">
              <w:rPr>
                <w:rFonts w:ascii="Times New Roman" w:eastAsia="Times New Roman" w:hAnsi="Times New Roman" w:cs="Times New Roman"/>
                <w:b/>
                <w:bCs/>
                <w:color w:val="000000"/>
                <w:kern w:val="3"/>
                <w:sz w:val="24"/>
                <w:szCs w:val="24"/>
                <w:lang w:eastAsia="zh-CN" w:bidi="hi-IN"/>
              </w:rPr>
              <w:t>Протез бедра лечебно-тренировочный</w:t>
            </w:r>
          </w:p>
          <w:p w:rsidR="007B74A9" w:rsidRPr="007B74A9" w:rsidRDefault="007B74A9" w:rsidP="007B74A9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Формообразующая часть косметической облицовки должна быть модульной мягкой </w:t>
            </w:r>
            <w:r w:rsidRPr="007B74A9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полиуретановой. Косметическое покрытие облицовки должны быть чулки ортопедические </w:t>
            </w:r>
            <w:proofErr w:type="spellStart"/>
            <w:r w:rsidRPr="007B74A9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перлоновые</w:t>
            </w:r>
            <w:proofErr w:type="spellEnd"/>
            <w:r w:rsidRPr="007B74A9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, может допускаться покрытие защитное плёночное.  Приёмная </w:t>
            </w:r>
            <w:proofErr w:type="gramStart"/>
            <w:r w:rsidRPr="007B74A9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>гильза  должна</w:t>
            </w:r>
            <w:proofErr w:type="gramEnd"/>
            <w:r w:rsidRPr="007B74A9">
              <w:rPr>
                <w:rFonts w:ascii="Times New Roman" w:eastAsia="Tahoma" w:hAnsi="Times New Roman" w:cs="Tahoma"/>
                <w:color w:val="000000"/>
                <w:kern w:val="3"/>
                <w:sz w:val="24"/>
                <w:szCs w:val="24"/>
                <w:lang w:eastAsia="zh-CN" w:bidi="hi-IN"/>
              </w:rPr>
              <w:t xml:space="preserve"> быть индивидуальной (две пробные гильзы). Материал индивидуальной постоянной гильзы: должен быть литьевой слоистый пластик на основе акриловых смол.  Может допускаться применение вкладных гильз из вспененных материалов.  Крепление протеза должно быть поясное, с использованием бандажа.  Регулировочно-соединительные устройства должны соответствовать весу инвалида.  Стопа должна быть с голеностопным шарниром, подвижным в сагиттальной плоскости, с двухступенчатой регулируемой пациентом высотой каблука.  Коленный шарнир должен быть с ручным замком одноосным.  Должно применяться поворотное устройство</w:t>
            </w:r>
            <w:r w:rsidRPr="007B74A9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zh-CN" w:bidi="hi-IN"/>
              </w:rPr>
              <w:t>, тип протеза должен быть по назначению — лечебно-тренировочный.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keepLines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B74A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7</w:t>
            </w:r>
          </w:p>
        </w:tc>
      </w:tr>
      <w:tr w:rsidR="007B74A9" w:rsidRPr="007B74A9" w:rsidTr="00020FCD">
        <w:tblPrEx>
          <w:tblCellMar>
            <w:top w:w="0" w:type="dxa"/>
            <w:bottom w:w="0" w:type="dxa"/>
          </w:tblCellMar>
        </w:tblPrEx>
        <w:tc>
          <w:tcPr>
            <w:tcW w:w="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keepLines/>
              <w:suppressLineNumbers/>
              <w:suppressAutoHyphens/>
              <w:autoSpaceDN w:val="0"/>
              <w:spacing w:after="0" w:line="240" w:lineRule="auto"/>
              <w:jc w:val="center"/>
              <w:textAlignment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7B74A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zh-CN" w:bidi="hi-IN"/>
              </w:rPr>
              <w:t>2</w:t>
            </w:r>
          </w:p>
        </w:tc>
        <w:tc>
          <w:tcPr>
            <w:tcW w:w="80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keepLine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</w:pPr>
            <w:r w:rsidRPr="007B74A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Протез бедра </w:t>
            </w:r>
            <w:proofErr w:type="gramStart"/>
            <w:r w:rsidRPr="007B74A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модульный  (</w:t>
            </w:r>
            <w:proofErr w:type="gramEnd"/>
            <w:r w:rsidRPr="007B74A9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zh-CN" w:bidi="hi-IN"/>
              </w:rPr>
              <w:t>функционально-косметический)</w:t>
            </w:r>
          </w:p>
          <w:p w:rsidR="007B74A9" w:rsidRPr="007B74A9" w:rsidRDefault="007B74A9" w:rsidP="007B74A9">
            <w:pPr>
              <w:keepLines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Протез </w:t>
            </w:r>
            <w:proofErr w:type="gramStart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бедра  модульный</w:t>
            </w:r>
            <w:proofErr w:type="gramEnd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.  Формообразующая часть косметической облицовки должна быть модульная мягкая полиуретановая. Косметическое покрытие облицовки должны быть чулки ортопедические </w:t>
            </w:r>
            <w:proofErr w:type="spellStart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перлоновые</w:t>
            </w:r>
            <w:proofErr w:type="spellEnd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может допускаться покрытие защитное плёночное.  Приёмная гильза должна быть индивидуальная (две пробные гильзы).  Материал индивидуальной постоянной гильзы должен быть литьевой слоистый пластик на основе акриловых смол.  В качестве вкладного элемента должны применяться чехлы полимерные </w:t>
            </w:r>
            <w:proofErr w:type="spellStart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гелевые</w:t>
            </w:r>
            <w:proofErr w:type="spellEnd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, крепление должно быть с использованием вакуумной мембраны.  Регулировочно-соединительные устройства должны соответствовать весу инвалида.  Стопа должна быть с голеностопным шарниром подвижным в </w:t>
            </w:r>
            <w:proofErr w:type="spellStart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саггитальной</w:t>
            </w:r>
            <w:proofErr w:type="spellEnd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плоскости со сменным пяточным амортизатором. Коленный шарнир должен быть полицентрический с «геометрическим замком» с независимым гидравлическим регулированием фаз сгибания-разгибания, с замком, </w:t>
            </w:r>
            <w:proofErr w:type="spellStart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отключающимся</w:t>
            </w:r>
            <w:proofErr w:type="spellEnd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 xml:space="preserve"> при переходе на передний отдел стопы, с упругим подгибанием.  Поворотное устройство должно </w:t>
            </w:r>
            <w:proofErr w:type="spellStart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отсутствать</w:t>
            </w:r>
            <w:proofErr w:type="spellEnd"/>
            <w:r w:rsidRPr="007B74A9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 w:bidi="hi-IN"/>
              </w:rPr>
              <w:t>. Тип протеза должен быть постоянный.</w:t>
            </w:r>
          </w:p>
        </w:tc>
        <w:tc>
          <w:tcPr>
            <w:tcW w:w="9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74A9" w:rsidRPr="007B74A9" w:rsidRDefault="007B74A9" w:rsidP="007B74A9">
            <w:pPr>
              <w:keepLines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</w:pPr>
            <w:r w:rsidRPr="007B74A9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val="en-US" w:eastAsia="zh-CN" w:bidi="hi-IN"/>
              </w:rPr>
              <w:t>8</w:t>
            </w:r>
          </w:p>
        </w:tc>
      </w:tr>
    </w:tbl>
    <w:p w:rsidR="007B74A9" w:rsidRPr="007B74A9" w:rsidRDefault="007B74A9" w:rsidP="007B74A9">
      <w:pPr>
        <w:tabs>
          <w:tab w:val="left" w:pos="2590"/>
        </w:tabs>
        <w:suppressAutoHyphens/>
        <w:autoSpaceDN w:val="0"/>
        <w:spacing w:after="0" w:line="240" w:lineRule="auto"/>
        <w:ind w:firstLine="426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B74A9" w:rsidRPr="007B74A9" w:rsidRDefault="007B74A9" w:rsidP="007B74A9">
      <w:pPr>
        <w:widowControl w:val="0"/>
        <w:shd w:val="clear" w:color="auto" w:fill="FFFFFF"/>
        <w:tabs>
          <w:tab w:val="left" w:pos="2590"/>
        </w:tabs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Протезно-ортопедические изделия</w:t>
      </w:r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должны отвечать требованиям </w:t>
      </w:r>
      <w:proofErr w:type="gramStart"/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ГОСТ  Р</w:t>
      </w:r>
      <w:proofErr w:type="gramEnd"/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52770-2016 «Изделия медицинские. Требования безопасности. Методы </w:t>
      </w:r>
      <w:proofErr w:type="spellStart"/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>санитарно</w:t>
      </w:r>
      <w:proofErr w:type="spellEnd"/>
      <w:r w:rsidRPr="007B74A9"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  <w:t xml:space="preserve"> — химических и токсикологических испытаний».</w:t>
      </w:r>
    </w:p>
    <w:p w:rsidR="007B74A9" w:rsidRPr="007B74A9" w:rsidRDefault="007B74A9" w:rsidP="007B74A9">
      <w:pPr>
        <w:widowControl w:val="0"/>
        <w:shd w:val="clear" w:color="auto" w:fill="FFFFFF"/>
        <w:tabs>
          <w:tab w:val="left" w:pos="450"/>
        </w:tabs>
        <w:autoSpaceDN w:val="0"/>
        <w:spacing w:after="0" w:line="240" w:lineRule="auto"/>
        <w:ind w:firstLine="736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lastRenderedPageBreak/>
        <w:t xml:space="preserve">Срок выполнения работ - в течение 75 (семидесяти пяти) календарных дней с даты получения от Заказчика Реестра получателей, и (или) не позднее 29 (двадцати </w:t>
      </w:r>
      <w:proofErr w:type="gramStart"/>
      <w:r w:rsidRPr="007B74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девяти)   </w:t>
      </w:r>
      <w:proofErr w:type="gramEnd"/>
      <w:r w:rsidRPr="007B74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 xml:space="preserve">        календарных дней с момента получения направления Исполнителем от Получателя. Направления принимаются Исполнителем не позднее 25.11.2019. В случае приема Направлений после указанного срока, Исполнитель принимает на себя обязательства по выполнению работ в срок до 23.12.2019.</w:t>
      </w:r>
    </w:p>
    <w:p w:rsidR="007B74A9" w:rsidRPr="007B74A9" w:rsidRDefault="007B74A9" w:rsidP="007B74A9">
      <w:pPr>
        <w:widowControl w:val="0"/>
        <w:shd w:val="clear" w:color="auto" w:fill="FFFFFF"/>
        <w:tabs>
          <w:tab w:val="left" w:pos="450"/>
        </w:tabs>
        <w:autoSpaceDN w:val="0"/>
        <w:spacing w:after="0" w:line="240" w:lineRule="auto"/>
        <w:ind w:firstLine="764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Место выполнения работ:</w:t>
      </w:r>
      <w:r w:rsidRPr="007B74A9">
        <w:rPr>
          <w:rFonts w:ascii="Times New Roman" w:eastAsia="Lucida Sans Unicode" w:hAnsi="Times New Roman" w:cs="Tahoma"/>
          <w:bCs/>
          <w:color w:val="000000"/>
          <w:kern w:val="3"/>
          <w:sz w:val="24"/>
          <w:szCs w:val="24"/>
          <w:lang w:bidi="en-US"/>
        </w:rPr>
        <w:t xml:space="preserve"> </w:t>
      </w:r>
      <w:r w:rsidRPr="007B74A9">
        <w:rPr>
          <w:rFonts w:ascii="Times New Roman" w:eastAsia="Lucida Sans Unicode" w:hAnsi="Times New Roman" w:cs="Times New Roman"/>
          <w:bCs/>
          <w:color w:val="000000"/>
          <w:kern w:val="3"/>
          <w:sz w:val="24"/>
          <w:szCs w:val="24"/>
          <w:lang w:bidi="en-US"/>
        </w:rPr>
        <w:t>Сибирский федеральный округ. Работы по снятию слепков, плановая примерка изделия, производятся (по желанию инвалида) в пункте приема граждан открытого на территории Республики Хакасия (в пределах 25 км от г. Абакана). Пункт приема оборудован мебелью для ожидания в сидячем положении, а также созданы условия для возможности примерки изделия.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7B74A9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Требования к техническим характеристикам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74A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Выполнение работ по протезированию должно быть направлено на изготовление технических устройств, к которым </w:t>
      </w:r>
      <w:proofErr w:type="gramStart"/>
      <w:r w:rsidRPr="007B74A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относятся  протезы</w:t>
      </w:r>
      <w:proofErr w:type="gramEnd"/>
      <w:r w:rsidRPr="007B74A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бедра, для обеспечения механической фиксации.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ind w:firstLine="900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ar-SA" w:bidi="hi-IN"/>
        </w:rPr>
      </w:pPr>
      <w:r w:rsidRPr="007B74A9">
        <w:rPr>
          <w:rFonts w:ascii="Times New Roman" w:eastAsia="Lucida Sans Unicode" w:hAnsi="Times New Roman" w:cs="Mangal"/>
          <w:kern w:val="3"/>
          <w:sz w:val="24"/>
          <w:szCs w:val="24"/>
          <w:lang w:eastAsia="ar-SA" w:bidi="hi-IN"/>
        </w:rPr>
        <w:t xml:space="preserve">Выполняемые работы должны включать комплекс медицинских, технических и социальных мероприятий, проводимых с инвалидами, имеющих нарушения травматологического, и иного характера заболеваний, а также других </w:t>
      </w:r>
      <w:proofErr w:type="gramStart"/>
      <w:r w:rsidRPr="007B74A9">
        <w:rPr>
          <w:rFonts w:ascii="Times New Roman" w:eastAsia="Lucida Sans Unicode" w:hAnsi="Times New Roman" w:cs="Mangal"/>
          <w:kern w:val="3"/>
          <w:sz w:val="24"/>
          <w:szCs w:val="24"/>
          <w:lang w:eastAsia="ar-SA" w:bidi="hi-IN"/>
        </w:rPr>
        <w:t>дефектов  организма</w:t>
      </w:r>
      <w:proofErr w:type="gramEnd"/>
      <w:r w:rsidRPr="007B74A9">
        <w:rPr>
          <w:rFonts w:ascii="Times New Roman" w:eastAsia="Lucida Sans Unicode" w:hAnsi="Times New Roman" w:cs="Mangal"/>
          <w:kern w:val="3"/>
          <w:sz w:val="24"/>
          <w:szCs w:val="24"/>
          <w:lang w:eastAsia="ar-SA" w:bidi="hi-IN"/>
        </w:rPr>
        <w:t xml:space="preserve">  и  обеспечивать компенсацию неустранимых анатомических дефектов и деформаций.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Требования к безопасности работ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Материалы, узлы, полуфабрикаты для изготовления протезно-ортопедических изделий должны соответствовать требованиям действующих стандартов и технических условий.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                 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74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 xml:space="preserve"> Требования к функциональным характеристикам</w:t>
      </w:r>
      <w:r w:rsidRPr="007B74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  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   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Протезно-ортопедические изделия несут фиксирующую, функциональную, разгружающую, корригирующую функцию и используются для коррекции взаимоположения неустранимых анатомических дефектов и деформаций.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b/>
          <w:color w:val="000000"/>
          <w:kern w:val="3"/>
          <w:sz w:val="24"/>
          <w:szCs w:val="24"/>
          <w:lang w:bidi="en-US"/>
        </w:rPr>
        <w:t>Требования к сроку и (или) объему предоставленных гарантий качества выполнения работ</w:t>
      </w:r>
    </w:p>
    <w:p w:rsidR="007B74A9" w:rsidRPr="007B74A9" w:rsidRDefault="007B74A9" w:rsidP="007B74A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B74A9" w:rsidRPr="007B74A9" w:rsidRDefault="007B74A9" w:rsidP="007B74A9">
      <w:pPr>
        <w:suppressAutoHyphens/>
        <w:autoSpaceDN w:val="0"/>
        <w:spacing w:after="0" w:line="240" w:lineRule="auto"/>
        <w:ind w:firstLine="450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>Исполнитель гарантирует, что результаты работ, выполненные в соответствии с условиями настоящего Контракта, надлежащего качества, не должны иметь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эксплуатации.</w:t>
      </w:r>
    </w:p>
    <w:p w:rsidR="007B74A9" w:rsidRPr="007B74A9" w:rsidRDefault="007B74A9" w:rsidP="007B74A9">
      <w:pPr>
        <w:widowControl w:val="0"/>
        <w:shd w:val="clear" w:color="auto" w:fill="FFFFFF"/>
        <w:tabs>
          <w:tab w:val="left" w:pos="2590"/>
        </w:tabs>
        <w:suppressAutoHyphens/>
        <w:autoSpaceDE w:val="0"/>
        <w:autoSpaceDN w:val="0"/>
        <w:spacing w:after="0" w:line="240" w:lineRule="auto"/>
        <w:ind w:firstLine="795"/>
        <w:jc w:val="both"/>
        <w:textAlignment w:val="baseline"/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</w:pPr>
      <w:r w:rsidRPr="007B74A9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bidi="en-US"/>
        </w:rPr>
        <w:t>Данная гарантия действительна в течение не менее 12 (двенадцати) месяцев после подписания Акта приема-передачи изделия.</w:t>
      </w:r>
    </w:p>
    <w:p w:rsidR="00E02FB8" w:rsidRPr="007B74A9" w:rsidRDefault="00E02FB8" w:rsidP="007B74A9">
      <w:bookmarkStart w:id="0" w:name="_GoBack"/>
      <w:bookmarkEnd w:id="0"/>
    </w:p>
    <w:sectPr w:rsidR="00E02FB8" w:rsidRPr="007B74A9" w:rsidSect="0029285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E3C" w:rsidRDefault="00377E3C">
      <w:pPr>
        <w:spacing w:after="0" w:line="240" w:lineRule="auto"/>
      </w:pPr>
      <w:r>
        <w:separator/>
      </w:r>
    </w:p>
  </w:endnote>
  <w:endnote w:type="continuationSeparator" w:id="0">
    <w:p w:rsidR="00377E3C" w:rsidRDefault="00377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AE" w:rsidRDefault="00377E3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AE" w:rsidRDefault="00E02FB8">
    <w:pPr>
      <w:pStyle w:val="a6"/>
      <w:jc w:val="center"/>
    </w:pPr>
    <w:r>
      <w:fldChar w:fldCharType="begin"/>
    </w:r>
    <w:r>
      <w:instrText xml:space="preserve"> PAGE </w:instrText>
    </w:r>
    <w:r>
      <w:fldChar w:fldCharType="separate"/>
    </w:r>
    <w:r w:rsidR="007B74A9">
      <w:rPr>
        <w:noProof/>
      </w:rPr>
      <w:t>1</w:t>
    </w:r>
    <w:r>
      <w:fldChar w:fldCharType="end"/>
    </w:r>
  </w:p>
  <w:p w:rsidR="00BD6FAE" w:rsidRDefault="00377E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AE" w:rsidRDefault="00377E3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E3C" w:rsidRDefault="00377E3C">
      <w:pPr>
        <w:spacing w:after="0" w:line="240" w:lineRule="auto"/>
      </w:pPr>
      <w:r>
        <w:separator/>
      </w:r>
    </w:p>
  </w:footnote>
  <w:footnote w:type="continuationSeparator" w:id="0">
    <w:p w:rsidR="00377E3C" w:rsidRDefault="00377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AE" w:rsidRDefault="00377E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6FAE" w:rsidRDefault="00377E3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8D46EB9"/>
    <w:multiLevelType w:val="multilevel"/>
    <w:tmpl w:val="1D9A091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EB970E1"/>
    <w:multiLevelType w:val="multilevel"/>
    <w:tmpl w:val="7E365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0F944EF3"/>
    <w:multiLevelType w:val="multilevel"/>
    <w:tmpl w:val="25E2C6D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24F61CDF"/>
    <w:multiLevelType w:val="multilevel"/>
    <w:tmpl w:val="B238B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29D03FAA"/>
    <w:multiLevelType w:val="multilevel"/>
    <w:tmpl w:val="278E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B6634E6"/>
    <w:multiLevelType w:val="hybridMultilevel"/>
    <w:tmpl w:val="AC3624B6"/>
    <w:lvl w:ilvl="0" w:tplc="1990E7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FE742D4"/>
    <w:multiLevelType w:val="multilevel"/>
    <w:tmpl w:val="FC5AB4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2445B54"/>
    <w:multiLevelType w:val="multilevel"/>
    <w:tmpl w:val="CE8EA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46FB5700"/>
    <w:multiLevelType w:val="multilevel"/>
    <w:tmpl w:val="B6EAE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60D21DCD"/>
    <w:multiLevelType w:val="multilevel"/>
    <w:tmpl w:val="CDF2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E752BF"/>
    <w:multiLevelType w:val="multilevel"/>
    <w:tmpl w:val="77402ED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21"/>
    <w:rsid w:val="00036FA5"/>
    <w:rsid w:val="0016603E"/>
    <w:rsid w:val="0017655C"/>
    <w:rsid w:val="00176EAD"/>
    <w:rsid w:val="00200FCB"/>
    <w:rsid w:val="0025013C"/>
    <w:rsid w:val="00292858"/>
    <w:rsid w:val="00377E3C"/>
    <w:rsid w:val="00464564"/>
    <w:rsid w:val="00480EFD"/>
    <w:rsid w:val="004934FD"/>
    <w:rsid w:val="004A1C61"/>
    <w:rsid w:val="005B124E"/>
    <w:rsid w:val="007B74A9"/>
    <w:rsid w:val="007F307E"/>
    <w:rsid w:val="00826D95"/>
    <w:rsid w:val="008A2809"/>
    <w:rsid w:val="008D6B48"/>
    <w:rsid w:val="008E3526"/>
    <w:rsid w:val="0092352C"/>
    <w:rsid w:val="00950107"/>
    <w:rsid w:val="00A75551"/>
    <w:rsid w:val="00A85200"/>
    <w:rsid w:val="00A866AD"/>
    <w:rsid w:val="00AF192D"/>
    <w:rsid w:val="00B35221"/>
    <w:rsid w:val="00B46EF0"/>
    <w:rsid w:val="00C129E0"/>
    <w:rsid w:val="00C50331"/>
    <w:rsid w:val="00CB7EF1"/>
    <w:rsid w:val="00D0121B"/>
    <w:rsid w:val="00D35645"/>
    <w:rsid w:val="00E02FB8"/>
    <w:rsid w:val="00E1543F"/>
    <w:rsid w:val="00F7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A07F69-B884-4978-BBC1-D48972C06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8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280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B124E"/>
    <w:pPr>
      <w:ind w:left="720"/>
      <w:contextualSpacing/>
    </w:pPr>
  </w:style>
  <w:style w:type="paragraph" w:styleId="a6">
    <w:name w:val="footer"/>
    <w:basedOn w:val="a"/>
    <w:link w:val="a7"/>
    <w:uiPriority w:val="99"/>
    <w:semiHidden/>
    <w:unhideWhenUsed/>
    <w:rsid w:val="00E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FB8"/>
  </w:style>
  <w:style w:type="paragraph" w:styleId="a8">
    <w:name w:val="header"/>
    <w:basedOn w:val="a"/>
    <w:link w:val="a9"/>
    <w:uiPriority w:val="99"/>
    <w:semiHidden/>
    <w:unhideWhenUsed/>
    <w:rsid w:val="00E02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02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</dc:creator>
  <cp:keywords/>
  <dc:description/>
  <cp:lastModifiedBy>Ершова Елена</cp:lastModifiedBy>
  <cp:revision>17</cp:revision>
  <cp:lastPrinted>2018-12-27T08:09:00Z</cp:lastPrinted>
  <dcterms:created xsi:type="dcterms:W3CDTF">2018-11-27T04:22:00Z</dcterms:created>
  <dcterms:modified xsi:type="dcterms:W3CDTF">2019-04-12T03:03:00Z</dcterms:modified>
</cp:coreProperties>
</file>