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  <w:lang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3E2ACF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3E2ACF" w:rsidRPr="003E2ACF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по Классу XI МКБ-10 "Болезни органов пищеварения", по Классу IX МКБ-10 "Болезни системы кровообращения", по Классу VI МКБ-10 "Болезни нервной системы", по Классу </w:t>
      </w:r>
      <w:proofErr w:type="gramStart"/>
      <w:r w:rsidR="003E2ACF" w:rsidRPr="003E2ACF">
        <w:rPr>
          <w:rFonts w:eastAsia="Times New Roman"/>
          <w:b/>
          <w:kern w:val="0"/>
          <w:sz w:val="22"/>
          <w:szCs w:val="22"/>
          <w:lang w:eastAsia="ru-RU"/>
        </w:rPr>
        <w:t>Х</w:t>
      </w:r>
      <w:proofErr w:type="gramEnd"/>
      <w:r w:rsidR="003E2ACF" w:rsidRPr="003E2ACF">
        <w:rPr>
          <w:rFonts w:eastAsia="Times New Roman"/>
          <w:b/>
          <w:kern w:val="0"/>
          <w:sz w:val="22"/>
          <w:szCs w:val="22"/>
          <w:lang w:eastAsia="ru-RU"/>
        </w:rPr>
        <w:t>III МКБ-10 "Болезни костно-мышечной системы и соединительной ткани".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по:</w:t>
      </w:r>
      <w:r w:rsidR="00B27152">
        <w:rPr>
          <w:sz w:val="22"/>
          <w:szCs w:val="22"/>
        </w:rPr>
        <w:t xml:space="preserve"> гастроэнтерологии, диетологии, кардиологии</w:t>
      </w:r>
      <w:r w:rsidR="003E2ACF">
        <w:rPr>
          <w:sz w:val="22"/>
          <w:szCs w:val="22"/>
        </w:rPr>
        <w:t>, неврологии, травматологии и ортопедии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3E2ACF" w:rsidRDefault="003E2AC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3E2ACF">
        <w:rPr>
          <w:bCs/>
          <w:color w:val="000000"/>
          <w:sz w:val="22"/>
          <w:szCs w:val="22"/>
        </w:rPr>
        <w:t xml:space="preserve">от 23.11.2004 № 278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3E2ACF" w:rsidRDefault="003E2AC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3E2ACF">
        <w:rPr>
          <w:bCs/>
          <w:color w:val="000000"/>
          <w:sz w:val="22"/>
          <w:szCs w:val="22"/>
        </w:rPr>
        <w:t xml:space="preserve">от 22.11.2004  №211 «Об утверждении стандарта санаторно-курортной помощи больным с болезнями вен»; </w:t>
      </w:r>
    </w:p>
    <w:p w:rsidR="003E2ACF" w:rsidRPr="003E2ACF" w:rsidRDefault="003E2AC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3E2ACF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E2ACF" w:rsidRDefault="003E2AC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3E2ACF">
        <w:rPr>
          <w:bCs/>
          <w:color w:val="000000"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повышенным кровяным давлением»; </w:t>
      </w:r>
    </w:p>
    <w:p w:rsidR="003E2ACF" w:rsidRDefault="003E2AC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3E2ACF">
        <w:rPr>
          <w:bCs/>
          <w:color w:val="000000"/>
          <w:sz w:val="22"/>
          <w:szCs w:val="22"/>
        </w:rPr>
        <w:t xml:space="preserve">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837D5A" w:rsidRPr="00FF2885" w:rsidRDefault="003E2ACF" w:rsidP="003E2ACF">
      <w:pPr>
        <w:ind w:firstLine="284"/>
        <w:jc w:val="both"/>
        <w:rPr>
          <w:sz w:val="22"/>
          <w:szCs w:val="22"/>
        </w:rPr>
      </w:pPr>
      <w:r w:rsidRPr="003E2ACF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E2ACF">
        <w:rPr>
          <w:bCs/>
          <w:color w:val="000000"/>
          <w:sz w:val="22"/>
          <w:szCs w:val="22"/>
        </w:rPr>
        <w:t>дорсопатии</w:t>
      </w:r>
      <w:proofErr w:type="spellEnd"/>
      <w:r w:rsidRPr="003E2ACF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3E2ACF">
        <w:rPr>
          <w:bCs/>
          <w:color w:val="000000"/>
          <w:sz w:val="22"/>
          <w:szCs w:val="22"/>
        </w:rPr>
        <w:t>остеопатии</w:t>
      </w:r>
      <w:proofErr w:type="spellEnd"/>
      <w:r w:rsidRPr="003E2ACF">
        <w:rPr>
          <w:bCs/>
          <w:color w:val="000000"/>
          <w:sz w:val="22"/>
          <w:szCs w:val="22"/>
        </w:rPr>
        <w:t xml:space="preserve"> и </w:t>
      </w:r>
      <w:proofErr w:type="spellStart"/>
      <w:r w:rsidRPr="003E2ACF">
        <w:rPr>
          <w:bCs/>
          <w:color w:val="000000"/>
          <w:sz w:val="22"/>
          <w:szCs w:val="22"/>
        </w:rPr>
        <w:t>хондропатии</w:t>
      </w:r>
      <w:proofErr w:type="spellEnd"/>
      <w:r w:rsidRPr="003E2ACF">
        <w:rPr>
          <w:bCs/>
          <w:color w:val="000000"/>
          <w:sz w:val="22"/>
          <w:szCs w:val="22"/>
        </w:rPr>
        <w:t>)».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837D5A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</w:t>
      </w:r>
      <w:bookmarkStart w:id="0" w:name="_GoBack"/>
      <w:bookmarkEnd w:id="0"/>
      <w:r w:rsidRPr="00FF2885">
        <w:rPr>
          <w:b/>
          <w:sz w:val="22"/>
          <w:szCs w:val="22"/>
        </w:rPr>
        <w:t>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lastRenderedPageBreak/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2 квартал- </w:t>
      </w:r>
      <w:r>
        <w:rPr>
          <w:kern w:val="24"/>
          <w:sz w:val="22"/>
          <w:szCs w:val="22"/>
          <w:shd w:val="clear" w:color="auto" w:fill="FFFFFF"/>
        </w:rPr>
        <w:t>20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>
        <w:rPr>
          <w:kern w:val="24"/>
          <w:sz w:val="22"/>
          <w:szCs w:val="22"/>
          <w:shd w:val="clear" w:color="auto" w:fill="FFFFFF"/>
        </w:rPr>
        <w:t>40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4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>Срок оказания услуг – со дня заключения Контракта по 3</w:t>
      </w:r>
      <w:r>
        <w:rPr>
          <w:sz w:val="22"/>
          <w:szCs w:val="22"/>
        </w:rPr>
        <w:t>1</w:t>
      </w:r>
      <w:r w:rsidRPr="00FF2885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FF288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FF2885">
        <w:rPr>
          <w:sz w:val="22"/>
          <w:szCs w:val="22"/>
        </w:rPr>
        <w:t>г. включительно.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E2ACF"/>
    <w:rsid w:val="00524836"/>
    <w:rsid w:val="00837D5A"/>
    <w:rsid w:val="00B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2019-03-14T12:37:00Z</dcterms:created>
  <dcterms:modified xsi:type="dcterms:W3CDTF">2019-03-14T12:37:00Z</dcterms:modified>
</cp:coreProperties>
</file>