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24" w:rsidRPr="003C5524" w:rsidRDefault="003C5524" w:rsidP="003C5524">
      <w:pPr>
        <w:jc w:val="center"/>
        <w:rPr>
          <w:b/>
        </w:rPr>
      </w:pPr>
      <w:r w:rsidRPr="003C5524">
        <w:rPr>
          <w:b/>
        </w:rPr>
        <w:t>Описание объекта закупки (техническое задание)</w:t>
      </w:r>
    </w:p>
    <w:p w:rsidR="003C5524" w:rsidRDefault="003C5524" w:rsidP="000F4BA9">
      <w:pPr>
        <w:jc w:val="both"/>
        <w:rPr>
          <w:b/>
        </w:rPr>
      </w:pPr>
    </w:p>
    <w:p w:rsidR="000F4BA9" w:rsidRPr="00DA5B87" w:rsidRDefault="000F4BA9" w:rsidP="003C5524">
      <w:pPr>
        <w:ind w:firstLine="708"/>
        <w:jc w:val="both"/>
      </w:pPr>
      <w:r w:rsidRPr="00DA5B87">
        <w:t>Изделие, удовлетворяющее следующим требованиям:</w:t>
      </w:r>
    </w:p>
    <w:p w:rsidR="000F4BA9" w:rsidRPr="00DA5B87" w:rsidRDefault="000F4BA9" w:rsidP="000F4BA9">
      <w:pPr>
        <w:jc w:val="both"/>
        <w:rPr>
          <w:rFonts w:ascii="Times New Roman CYR" w:hAnsi="Times New Roman CYR" w:cs="Times New Roman CYR"/>
        </w:rPr>
      </w:pPr>
      <w:r w:rsidRPr="00DA5B87">
        <w:t xml:space="preserve">1. 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 </w:t>
      </w:r>
      <w:r w:rsidRPr="00DA5B87"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0F4BA9" w:rsidRPr="00DA5B87" w:rsidRDefault="000F4BA9" w:rsidP="000F4BA9">
      <w:pPr>
        <w:widowControl w:val="0"/>
        <w:jc w:val="both"/>
        <w:rPr>
          <w:rFonts w:ascii="Times New Roman CYR" w:hAnsi="Times New Roman CYR" w:cs="Times New Roman CYR"/>
        </w:rPr>
      </w:pPr>
      <w:r w:rsidRPr="00DA5B87">
        <w:t xml:space="preserve">2. Изделие должно быть в упаковке, обеспечивающей защиту от воздействия механических и климатических факторов (п. 4.11.5 ГОСТ </w:t>
      </w:r>
      <w:proofErr w:type="gramStart"/>
      <w:r w:rsidRPr="00DA5B87">
        <w:t>Р</w:t>
      </w:r>
      <w:proofErr w:type="gramEnd"/>
      <w:r w:rsidRPr="00DA5B87">
        <w:t xml:space="preserve"> 51632-2014 «Технические средства реабилитации людей с ограничениями жизнедеятельности. </w:t>
      </w:r>
      <w:proofErr w:type="gramStart"/>
      <w:r w:rsidRPr="00DA5B87">
        <w:t>Общие технические требования и методы испытаний»)</w:t>
      </w:r>
      <w:r w:rsidRPr="00DA5B87">
        <w:rPr>
          <w:rFonts w:ascii="Times New Roman CYR" w:hAnsi="Times New Roman CYR" w:cs="Times New Roman CYR"/>
        </w:rPr>
        <w:t xml:space="preserve">. </w:t>
      </w:r>
      <w:proofErr w:type="gramEnd"/>
    </w:p>
    <w:p w:rsidR="000F4BA9" w:rsidRPr="00DA5B87" w:rsidRDefault="000F4BA9" w:rsidP="000F4BA9">
      <w:pPr>
        <w:widowControl w:val="0"/>
        <w:jc w:val="both"/>
      </w:pPr>
      <w:r w:rsidRPr="00DA5B87">
        <w:t>3. Изделие должно быть новым. Изделие должно быть свободным от прав третьих лиц.</w:t>
      </w:r>
    </w:p>
    <w:p w:rsidR="000F4BA9" w:rsidRPr="00DA5B87" w:rsidRDefault="000F4BA9" w:rsidP="000F4BA9">
      <w:pPr>
        <w:widowControl w:val="0"/>
        <w:jc w:val="both"/>
      </w:pPr>
      <w:bookmarkStart w:id="0" w:name="_GoBack"/>
      <w:bookmarkEnd w:id="0"/>
      <w:r w:rsidRPr="00DA5B87">
        <w:t xml:space="preserve">4. </w:t>
      </w:r>
      <w:r w:rsidRPr="00DA5B87">
        <w:rPr>
          <w:lang w:eastAsia="ar-SA"/>
        </w:rPr>
        <w:t>Изделия должны отвечать следующим требованиям</w:t>
      </w:r>
      <w:r w:rsidRPr="00DA5B87">
        <w:rPr>
          <w:rStyle w:val="a5"/>
        </w:rPr>
        <w:footnoteReference w:id="1"/>
      </w:r>
      <w:r w:rsidRPr="00DA5B87">
        <w:rPr>
          <w:lang w:eastAsia="ar-SA"/>
        </w:rPr>
        <w:t>:</w:t>
      </w:r>
      <w:r w:rsidRPr="00DA5B87">
        <w:rPr>
          <w:rStyle w:val="a5"/>
        </w:rPr>
        <w:t xml:space="preserve"> </w:t>
      </w:r>
    </w:p>
    <w:p w:rsidR="000F4BA9" w:rsidRPr="00DA5B87" w:rsidRDefault="000F4BA9" w:rsidP="000F4BA9">
      <w:pPr>
        <w:widowControl w:val="0"/>
        <w:jc w:val="both"/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415"/>
        <w:gridCol w:w="1701"/>
        <w:gridCol w:w="1560"/>
        <w:gridCol w:w="1500"/>
        <w:gridCol w:w="909"/>
      </w:tblGrid>
      <w:tr w:rsidR="000F4BA9" w:rsidRPr="00DA5B87" w:rsidTr="00FF5C47">
        <w:tc>
          <w:tcPr>
            <w:tcW w:w="540" w:type="dxa"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snapToGrid w:val="0"/>
              <w:jc w:val="center"/>
            </w:pPr>
            <w:r w:rsidRPr="00DA5B87">
              <w:t>№</w:t>
            </w:r>
          </w:p>
          <w:p w:rsidR="000F4BA9" w:rsidRPr="00DA5B87" w:rsidRDefault="000F4BA9" w:rsidP="00FF5C47">
            <w:pPr>
              <w:widowControl w:val="0"/>
              <w:suppressAutoHyphens/>
              <w:snapToGrid w:val="0"/>
              <w:jc w:val="center"/>
            </w:pPr>
            <w:proofErr w:type="gramStart"/>
            <w:r w:rsidRPr="00DA5B87">
              <w:t>п</w:t>
            </w:r>
            <w:proofErr w:type="gramEnd"/>
            <w:r w:rsidRPr="00DA5B87">
              <w:t>/п</w:t>
            </w:r>
          </w:p>
        </w:tc>
        <w:tc>
          <w:tcPr>
            <w:tcW w:w="1800" w:type="dxa"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jc w:val="center"/>
            </w:pPr>
            <w:r w:rsidRPr="00DA5B87">
              <w:t>Наименование Изделия по КТРУ</w:t>
            </w:r>
          </w:p>
        </w:tc>
        <w:tc>
          <w:tcPr>
            <w:tcW w:w="2415" w:type="dxa"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snapToGrid w:val="0"/>
              <w:jc w:val="center"/>
            </w:pPr>
            <w:r w:rsidRPr="00DA5B87">
              <w:t>Характеристика Изделия</w:t>
            </w:r>
          </w:p>
        </w:tc>
        <w:tc>
          <w:tcPr>
            <w:tcW w:w="1701" w:type="dxa"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snapToGrid w:val="0"/>
              <w:jc w:val="center"/>
            </w:pPr>
            <w:r w:rsidRPr="00DA5B87">
              <w:t>Наименование используемого товара</w:t>
            </w:r>
          </w:p>
        </w:tc>
        <w:tc>
          <w:tcPr>
            <w:tcW w:w="1560" w:type="dxa"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snapToGrid w:val="0"/>
              <w:jc w:val="center"/>
            </w:pPr>
            <w:r w:rsidRPr="00DA5B87">
              <w:t xml:space="preserve">Показатель </w:t>
            </w:r>
            <w:r w:rsidRPr="00DA5B87">
              <w:rPr>
                <w:bCs/>
              </w:rPr>
              <w:t>характеристики используемого товара</w:t>
            </w:r>
          </w:p>
        </w:tc>
        <w:tc>
          <w:tcPr>
            <w:tcW w:w="1500" w:type="dxa"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snapToGrid w:val="0"/>
              <w:jc w:val="center"/>
            </w:pPr>
            <w:r w:rsidRPr="00DA5B87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09" w:type="dxa"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snapToGrid w:val="0"/>
              <w:jc w:val="center"/>
            </w:pPr>
            <w:r w:rsidRPr="00DA5B87">
              <w:t>Кол-во</w:t>
            </w:r>
          </w:p>
          <w:p w:rsidR="000F4BA9" w:rsidRPr="00DA5B87" w:rsidRDefault="000F4BA9" w:rsidP="00FF5C47">
            <w:pPr>
              <w:widowControl w:val="0"/>
              <w:suppressAutoHyphens/>
              <w:jc w:val="center"/>
            </w:pPr>
            <w:r w:rsidRPr="00DA5B87">
              <w:t>Изделий (шт.)</w:t>
            </w:r>
          </w:p>
          <w:p w:rsidR="000F4BA9" w:rsidRPr="00DA5B87" w:rsidRDefault="000F4BA9" w:rsidP="00FF5C47">
            <w:pPr>
              <w:widowControl w:val="0"/>
              <w:suppressAutoHyphens/>
              <w:jc w:val="center"/>
            </w:pPr>
          </w:p>
        </w:tc>
      </w:tr>
      <w:tr w:rsidR="000F4BA9" w:rsidRPr="00DA5B87" w:rsidTr="00FF5C47">
        <w:tc>
          <w:tcPr>
            <w:tcW w:w="540" w:type="dxa"/>
            <w:vMerge w:val="restart"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snapToGrid w:val="0"/>
              <w:jc w:val="center"/>
            </w:pPr>
            <w:r w:rsidRPr="00DA5B87">
              <w:t>1.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F4BA9" w:rsidRPr="00302606" w:rsidRDefault="000F4BA9" w:rsidP="00FF5C47">
            <w:pPr>
              <w:widowControl w:val="0"/>
              <w:suppressAutoHyphens/>
              <w:jc w:val="center"/>
            </w:pPr>
            <w:r w:rsidRPr="00302606">
              <w:t>Протез трансфеморальный</w:t>
            </w:r>
          </w:p>
        </w:tc>
        <w:tc>
          <w:tcPr>
            <w:tcW w:w="2415" w:type="dxa"/>
            <w:vMerge w:val="restart"/>
            <w:shd w:val="clear" w:color="auto" w:fill="auto"/>
          </w:tcPr>
          <w:p w:rsidR="000F4BA9" w:rsidRPr="00B24EEF" w:rsidRDefault="000F4BA9" w:rsidP="00FF5C47">
            <w:pPr>
              <w:rPr>
                <w:rFonts w:eastAsia="Times New Roman"/>
              </w:rPr>
            </w:pPr>
            <w:r w:rsidRPr="00B24EEF">
              <w:t xml:space="preserve">Протез бедра модульный, в том числе при врожденном недоразвитии; для получателей высокого уровня активности. Формообразующая часть облицовки – </w:t>
            </w:r>
            <w:r>
              <w:t xml:space="preserve">жесткая </w:t>
            </w:r>
            <w:r w:rsidRPr="00B24EEF">
              <w:t>до коленного модуля. Пробная приемная гильза по слепку.</w:t>
            </w:r>
            <w:r w:rsidRPr="00B24EEF">
              <w:rPr>
                <w:highlight w:val="yellow"/>
              </w:rPr>
              <w:t xml:space="preserve"> </w:t>
            </w:r>
            <w:r w:rsidRPr="00B24EEF">
              <w:t xml:space="preserve">Постоянная приемная гильза (несущая </w:t>
            </w:r>
            <w:proofErr w:type="spellStart"/>
            <w:r w:rsidRPr="00B24EEF">
              <w:t>скелетированная</w:t>
            </w:r>
            <w:proofErr w:type="spellEnd"/>
            <w:r w:rsidRPr="00B24EEF">
              <w:t xml:space="preserve">) по слепку. Мягкая вкладная гильза. Регулировочно-соединительные устройства. Коленный модуль с </w:t>
            </w:r>
            <w:proofErr w:type="spellStart"/>
            <w:r w:rsidRPr="00B24EEF">
              <w:t>пневмоцилиндром</w:t>
            </w:r>
            <w:proofErr w:type="spellEnd"/>
            <w:r w:rsidRPr="00B24EEF">
              <w:t xml:space="preserve"> и микропроцессором для контроля фазы </w:t>
            </w:r>
            <w:r w:rsidRPr="00B24EEF">
              <w:lastRenderedPageBreak/>
              <w:t>переноса и гидроцилиндром с системой вычисления силы реакции опоры обеспечивает восстановление естественного рисунка ходьбы за счет раздельной регуляции сопротивления в стадиях сгибания и разгибания. Имеющаяся настройка силы выброса колена при разгибании позволяет добиться адекватной нагрузки на мышцы-разгибатели п</w:t>
            </w:r>
            <w:r>
              <w:t>олучателя</w:t>
            </w:r>
            <w:r w:rsidRPr="00B24EEF">
              <w:t xml:space="preserve"> и повысить устойчивость протеза при имеющейся атрофии мышечных тканей. Большой объем гидравлической системы позволяет использовать данный коленный модуль при высоком уровне активности п</w:t>
            </w:r>
            <w:r>
              <w:t>олучателя</w:t>
            </w:r>
            <w:r w:rsidRPr="00B24EEF">
              <w:t xml:space="preserve"> (К3-К4 по международной системе </w:t>
            </w:r>
            <w:proofErr w:type="spellStart"/>
            <w:r w:rsidRPr="00B24EEF">
              <w:rPr>
                <w:lang w:val="en-US"/>
              </w:rPr>
              <w:t>Mobis</w:t>
            </w:r>
            <w:proofErr w:type="spellEnd"/>
            <w:r w:rsidRPr="00B24EEF">
              <w:t xml:space="preserve">). Динамическая стабилизация </w:t>
            </w:r>
            <w:proofErr w:type="gramStart"/>
            <w:r w:rsidRPr="00B24EEF">
              <w:t>положения</w:t>
            </w:r>
            <w:proofErr w:type="gramEnd"/>
            <w:r w:rsidRPr="00B24EEF">
              <w:t xml:space="preserve"> стоя с помощью системы вычислении силы реакции опоры (</w:t>
            </w:r>
            <w:r w:rsidRPr="00B24EEF">
              <w:rPr>
                <w:lang w:val="en-US"/>
              </w:rPr>
              <w:t>p</w:t>
            </w:r>
            <w:r w:rsidRPr="00B24EEF">
              <w:t>-</w:t>
            </w:r>
            <w:r w:rsidRPr="00B24EEF">
              <w:rPr>
                <w:lang w:val="en-US"/>
              </w:rPr>
              <w:t>MRS</w:t>
            </w:r>
            <w:r w:rsidRPr="00B24EEF">
              <w:t xml:space="preserve">-система для контроля фазы опоры) позволяет осуществлять спуск и подъем по лестницам и перемещение по сильно пересеченной местности. Стопа с высоким уровнем </w:t>
            </w:r>
            <w:r w:rsidRPr="00B24EEF">
              <w:lastRenderedPageBreak/>
              <w:t xml:space="preserve">энергосбережения с расщепленным носком и пяткой, с гидравлической щиколоткой, обеспечивающей 12 градусов </w:t>
            </w:r>
            <w:proofErr w:type="spellStart"/>
            <w:r w:rsidRPr="00B24EEF">
              <w:t>плантарной</w:t>
            </w:r>
            <w:proofErr w:type="spellEnd"/>
            <w:r w:rsidRPr="00B24EEF">
              <w:t xml:space="preserve"> и дорсальной флексии, для безопасной ходьбы по пересеченной местности. </w:t>
            </w:r>
            <w:proofErr w:type="gramStart"/>
            <w:r w:rsidRPr="00B24EEF">
              <w:t>Дополнительное</w:t>
            </w:r>
            <w:proofErr w:type="gramEnd"/>
            <w:r w:rsidRPr="00B24EEF">
              <w:t xml:space="preserve"> РСУ – поворотный адаптер. Крепление – вакуумный клапан. Тип протеза по назначению: постоянный.</w:t>
            </w:r>
          </w:p>
        </w:tc>
        <w:tc>
          <w:tcPr>
            <w:tcW w:w="1701" w:type="dxa"/>
            <w:shd w:val="clear" w:color="auto" w:fill="auto"/>
          </w:tcPr>
          <w:p w:rsidR="000F4BA9" w:rsidRPr="00B24EEF" w:rsidRDefault="000F4BA9" w:rsidP="00FF5C47">
            <w:r w:rsidRPr="00B24EEF">
              <w:lastRenderedPageBreak/>
              <w:t xml:space="preserve">Материал пробной приемной гильзы </w:t>
            </w:r>
            <w:proofErr w:type="gramStart"/>
            <w:r w:rsidRPr="00B24EEF">
              <w:t>–л</w:t>
            </w:r>
            <w:proofErr w:type="gramEnd"/>
            <w:r w:rsidRPr="00B24EEF">
              <w:t>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0F4BA9" w:rsidRPr="00B24EEF" w:rsidRDefault="000F4BA9" w:rsidP="00FF5C47">
            <w:r w:rsidRPr="00B24EEF">
              <w:t>Наличие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snapToGrid w:val="0"/>
              <w:jc w:val="center"/>
            </w:pPr>
            <w:r w:rsidRPr="00DA5B87">
              <w:t xml:space="preserve"> Приказ Минтруда России от 13.02.2018 №86н. Заключение медико-технической комиссии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snapToGrid w:val="0"/>
              <w:jc w:val="center"/>
            </w:pPr>
            <w:r w:rsidRPr="00DA5B87">
              <w:t>1</w:t>
            </w:r>
          </w:p>
        </w:tc>
      </w:tr>
      <w:tr w:rsidR="000F4BA9" w:rsidRPr="00DA5B87" w:rsidTr="00FF5C47">
        <w:tc>
          <w:tcPr>
            <w:tcW w:w="540" w:type="dxa"/>
            <w:vMerge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0F4BA9" w:rsidRPr="00302606" w:rsidRDefault="000F4BA9" w:rsidP="00FF5C47">
            <w:pPr>
              <w:widowControl w:val="0"/>
              <w:suppressAutoHyphens/>
              <w:jc w:val="center"/>
            </w:pPr>
          </w:p>
        </w:tc>
        <w:tc>
          <w:tcPr>
            <w:tcW w:w="2415" w:type="dxa"/>
            <w:vMerge/>
            <w:shd w:val="clear" w:color="auto" w:fill="auto"/>
          </w:tcPr>
          <w:p w:rsidR="000F4BA9" w:rsidRPr="00B24EEF" w:rsidRDefault="000F4BA9" w:rsidP="00FF5C47"/>
        </w:tc>
        <w:tc>
          <w:tcPr>
            <w:tcW w:w="1701" w:type="dxa"/>
            <w:shd w:val="clear" w:color="auto" w:fill="auto"/>
          </w:tcPr>
          <w:p w:rsidR="000F4BA9" w:rsidRPr="00B24EEF" w:rsidRDefault="000F4BA9" w:rsidP="00FF5C47">
            <w:pPr>
              <w:widowControl w:val="0"/>
              <w:tabs>
                <w:tab w:val="left" w:pos="9180"/>
              </w:tabs>
              <w:suppressAutoHyphens/>
              <w:spacing w:line="240" w:lineRule="atLeast"/>
              <w:rPr>
                <w:rFonts w:eastAsia="Times New Roman"/>
              </w:rPr>
            </w:pPr>
            <w:r w:rsidRPr="00B24EEF">
              <w:t>Материал постоянной приемной гильзы – слоистый пластик на основе акриловых смол</w:t>
            </w:r>
          </w:p>
        </w:tc>
        <w:tc>
          <w:tcPr>
            <w:tcW w:w="1560" w:type="dxa"/>
            <w:shd w:val="clear" w:color="auto" w:fill="auto"/>
          </w:tcPr>
          <w:p w:rsidR="000F4BA9" w:rsidRPr="00B24EEF" w:rsidRDefault="000F4BA9" w:rsidP="00FF5C47">
            <w:pPr>
              <w:tabs>
                <w:tab w:val="left" w:pos="9180"/>
              </w:tabs>
              <w:suppressAutoHyphens/>
              <w:spacing w:line="240" w:lineRule="atLeast"/>
              <w:jc w:val="center"/>
              <w:rPr>
                <w:rFonts w:eastAsia="Times New Roman"/>
              </w:rPr>
            </w:pPr>
            <w:r w:rsidRPr="00B24EEF"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9" w:type="dxa"/>
            <w:vMerge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snapToGrid w:val="0"/>
              <w:jc w:val="center"/>
            </w:pPr>
          </w:p>
        </w:tc>
      </w:tr>
      <w:tr w:rsidR="000F4BA9" w:rsidRPr="00DA5B87" w:rsidTr="00FF5C47">
        <w:tc>
          <w:tcPr>
            <w:tcW w:w="540" w:type="dxa"/>
            <w:vMerge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0F4BA9" w:rsidRPr="00302606" w:rsidRDefault="000F4BA9" w:rsidP="00FF5C47">
            <w:pPr>
              <w:widowControl w:val="0"/>
              <w:suppressAutoHyphens/>
              <w:jc w:val="center"/>
            </w:pPr>
          </w:p>
        </w:tc>
        <w:tc>
          <w:tcPr>
            <w:tcW w:w="2415" w:type="dxa"/>
            <w:vMerge/>
            <w:shd w:val="clear" w:color="auto" w:fill="auto"/>
          </w:tcPr>
          <w:p w:rsidR="000F4BA9" w:rsidRPr="00B24EEF" w:rsidRDefault="000F4BA9" w:rsidP="00FF5C47"/>
        </w:tc>
        <w:tc>
          <w:tcPr>
            <w:tcW w:w="1701" w:type="dxa"/>
            <w:shd w:val="clear" w:color="auto" w:fill="auto"/>
          </w:tcPr>
          <w:p w:rsidR="000F4BA9" w:rsidRPr="00B24EEF" w:rsidRDefault="000F4BA9" w:rsidP="00FF5C47">
            <w:pPr>
              <w:widowControl w:val="0"/>
              <w:tabs>
                <w:tab w:val="left" w:pos="9180"/>
              </w:tabs>
              <w:suppressAutoHyphens/>
              <w:spacing w:line="240" w:lineRule="atLeast"/>
              <w:rPr>
                <w:rFonts w:eastAsia="Times New Roman"/>
              </w:rPr>
            </w:pPr>
            <w:r w:rsidRPr="00B24EEF">
              <w:t>Материал вкладной гильзы - листовой термопласт сверхмягкий (</w:t>
            </w:r>
            <w:proofErr w:type="spellStart"/>
            <w:r w:rsidRPr="00B24EEF">
              <w:t>супрасофт</w:t>
            </w:r>
            <w:proofErr w:type="spellEnd"/>
            <w:r w:rsidRPr="00B24EEF">
              <w:t>)</w:t>
            </w:r>
          </w:p>
        </w:tc>
        <w:tc>
          <w:tcPr>
            <w:tcW w:w="1560" w:type="dxa"/>
            <w:shd w:val="clear" w:color="auto" w:fill="auto"/>
          </w:tcPr>
          <w:p w:rsidR="000F4BA9" w:rsidRPr="00B24EEF" w:rsidRDefault="000F4BA9" w:rsidP="00FF5C47">
            <w:pPr>
              <w:tabs>
                <w:tab w:val="left" w:pos="9180"/>
              </w:tabs>
              <w:suppressAutoHyphens/>
              <w:spacing w:line="240" w:lineRule="atLeast"/>
              <w:jc w:val="center"/>
              <w:rPr>
                <w:rFonts w:eastAsia="Times New Roman"/>
              </w:rPr>
            </w:pPr>
            <w:r w:rsidRPr="00B24EEF">
              <w:t>Наличие</w:t>
            </w:r>
          </w:p>
        </w:tc>
        <w:tc>
          <w:tcPr>
            <w:tcW w:w="1500" w:type="dxa"/>
            <w:vMerge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9" w:type="dxa"/>
            <w:vMerge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snapToGrid w:val="0"/>
              <w:jc w:val="center"/>
            </w:pPr>
          </w:p>
        </w:tc>
      </w:tr>
      <w:tr w:rsidR="000F4BA9" w:rsidRPr="00DA5B87" w:rsidTr="00FF5C47">
        <w:tc>
          <w:tcPr>
            <w:tcW w:w="540" w:type="dxa"/>
            <w:vMerge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0F4BA9" w:rsidRPr="00302606" w:rsidRDefault="000F4BA9" w:rsidP="00FF5C47">
            <w:pPr>
              <w:widowControl w:val="0"/>
              <w:suppressAutoHyphens/>
              <w:jc w:val="center"/>
            </w:pPr>
          </w:p>
        </w:tc>
        <w:tc>
          <w:tcPr>
            <w:tcW w:w="2415" w:type="dxa"/>
            <w:vMerge/>
            <w:shd w:val="clear" w:color="auto" w:fill="auto"/>
          </w:tcPr>
          <w:p w:rsidR="000F4BA9" w:rsidRPr="00B24EEF" w:rsidRDefault="000F4BA9" w:rsidP="00FF5C47"/>
        </w:tc>
        <w:tc>
          <w:tcPr>
            <w:tcW w:w="1701" w:type="dxa"/>
            <w:shd w:val="clear" w:color="auto" w:fill="auto"/>
          </w:tcPr>
          <w:p w:rsidR="000F4BA9" w:rsidRPr="00B24EEF" w:rsidRDefault="000F4BA9" w:rsidP="00FF5C47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>
              <w:t>Материал формообразующей части облицовки</w:t>
            </w:r>
          </w:p>
        </w:tc>
        <w:tc>
          <w:tcPr>
            <w:tcW w:w="1560" w:type="dxa"/>
            <w:shd w:val="clear" w:color="auto" w:fill="auto"/>
          </w:tcPr>
          <w:p w:rsidR="000F4BA9" w:rsidRPr="00B24EEF" w:rsidRDefault="000F4BA9" w:rsidP="00FF5C47">
            <w:pPr>
              <w:tabs>
                <w:tab w:val="left" w:pos="9180"/>
              </w:tabs>
              <w:suppressAutoHyphens/>
              <w:spacing w:line="240" w:lineRule="atLeast"/>
              <w:jc w:val="center"/>
            </w:pPr>
            <w:r>
              <w:t>Полиуретан</w:t>
            </w:r>
          </w:p>
        </w:tc>
        <w:tc>
          <w:tcPr>
            <w:tcW w:w="1500" w:type="dxa"/>
            <w:vMerge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9" w:type="dxa"/>
            <w:vMerge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snapToGrid w:val="0"/>
              <w:jc w:val="center"/>
            </w:pPr>
          </w:p>
        </w:tc>
      </w:tr>
      <w:tr w:rsidR="000F4BA9" w:rsidRPr="00DA5B87" w:rsidTr="00FF5C47">
        <w:tc>
          <w:tcPr>
            <w:tcW w:w="540" w:type="dxa"/>
            <w:vMerge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0F4BA9" w:rsidRPr="00302606" w:rsidRDefault="000F4BA9" w:rsidP="00FF5C47">
            <w:pPr>
              <w:widowControl w:val="0"/>
              <w:suppressAutoHyphens/>
              <w:jc w:val="center"/>
            </w:pPr>
          </w:p>
        </w:tc>
        <w:tc>
          <w:tcPr>
            <w:tcW w:w="2415" w:type="dxa"/>
            <w:vMerge/>
            <w:shd w:val="clear" w:color="auto" w:fill="auto"/>
          </w:tcPr>
          <w:p w:rsidR="000F4BA9" w:rsidRPr="00B24EEF" w:rsidRDefault="000F4BA9" w:rsidP="00FF5C47"/>
        </w:tc>
        <w:tc>
          <w:tcPr>
            <w:tcW w:w="1701" w:type="dxa"/>
            <w:shd w:val="clear" w:color="auto" w:fill="auto"/>
          </w:tcPr>
          <w:p w:rsidR="000F4BA9" w:rsidRPr="00B24EEF" w:rsidRDefault="000F4BA9" w:rsidP="00FF5C47">
            <w:pPr>
              <w:widowControl w:val="0"/>
              <w:tabs>
                <w:tab w:val="left" w:pos="9180"/>
              </w:tabs>
              <w:suppressAutoHyphens/>
              <w:spacing w:line="240" w:lineRule="atLeast"/>
            </w:pPr>
            <w:r w:rsidRPr="00B24EEF">
              <w:rPr>
                <w:rFonts w:eastAsia="Arial Unicode MS"/>
              </w:rPr>
              <w:t>Максимальна</w:t>
            </w:r>
            <w:r w:rsidRPr="00B24EEF">
              <w:rPr>
                <w:rFonts w:eastAsia="Arial Unicode MS"/>
              </w:rPr>
              <w:lastRenderedPageBreak/>
              <w:t xml:space="preserve">я нагрузка на </w:t>
            </w:r>
            <w:r w:rsidRPr="00B24EEF">
              <w:t>регулировочно-соединительные устройства</w:t>
            </w:r>
          </w:p>
        </w:tc>
        <w:tc>
          <w:tcPr>
            <w:tcW w:w="1560" w:type="dxa"/>
            <w:shd w:val="clear" w:color="auto" w:fill="auto"/>
          </w:tcPr>
          <w:p w:rsidR="000F4BA9" w:rsidRPr="00B24EEF" w:rsidRDefault="000F4BA9" w:rsidP="00FF5C47">
            <w:pPr>
              <w:tabs>
                <w:tab w:val="left" w:pos="9180"/>
              </w:tabs>
              <w:suppressAutoHyphens/>
              <w:spacing w:line="240" w:lineRule="atLeast"/>
              <w:jc w:val="center"/>
            </w:pPr>
            <w:r>
              <w:rPr>
                <w:rFonts w:eastAsia="Arial Unicode MS"/>
              </w:rPr>
              <w:lastRenderedPageBreak/>
              <w:t>Н</w:t>
            </w:r>
            <w:r w:rsidRPr="00B24EEF">
              <w:rPr>
                <w:rFonts w:eastAsia="Arial Unicode MS"/>
              </w:rPr>
              <w:t xml:space="preserve">е менее </w:t>
            </w:r>
            <w:r w:rsidRPr="00B24EEF">
              <w:rPr>
                <w:rFonts w:eastAsia="Arial Unicode MS"/>
              </w:rPr>
              <w:lastRenderedPageBreak/>
              <w:t>100 кг (включительно)</w:t>
            </w:r>
          </w:p>
        </w:tc>
        <w:tc>
          <w:tcPr>
            <w:tcW w:w="1500" w:type="dxa"/>
            <w:vMerge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9" w:type="dxa"/>
            <w:vMerge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snapToGrid w:val="0"/>
              <w:jc w:val="center"/>
            </w:pPr>
          </w:p>
        </w:tc>
      </w:tr>
      <w:tr w:rsidR="000F4BA9" w:rsidRPr="00DA5B87" w:rsidTr="00FF5C47">
        <w:tc>
          <w:tcPr>
            <w:tcW w:w="9516" w:type="dxa"/>
            <w:gridSpan w:val="6"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snapToGrid w:val="0"/>
              <w:jc w:val="right"/>
            </w:pPr>
            <w:r w:rsidRPr="00DA5B87">
              <w:lastRenderedPageBreak/>
              <w:t>Итого:</w:t>
            </w:r>
          </w:p>
        </w:tc>
        <w:tc>
          <w:tcPr>
            <w:tcW w:w="909" w:type="dxa"/>
            <w:shd w:val="clear" w:color="auto" w:fill="auto"/>
          </w:tcPr>
          <w:p w:rsidR="000F4BA9" w:rsidRPr="00DA5B87" w:rsidRDefault="000F4BA9" w:rsidP="00FF5C47">
            <w:pPr>
              <w:widowControl w:val="0"/>
              <w:suppressAutoHyphens/>
              <w:snapToGrid w:val="0"/>
              <w:jc w:val="center"/>
            </w:pPr>
            <w:r w:rsidRPr="00DA5B87">
              <w:t>1</w:t>
            </w:r>
          </w:p>
        </w:tc>
      </w:tr>
    </w:tbl>
    <w:p w:rsidR="00D75CFD" w:rsidRDefault="00D75CFD"/>
    <w:sectPr w:rsidR="00D75CFD" w:rsidSect="000F4BA9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2E" w:rsidRDefault="005C3D2E" w:rsidP="000F4BA9">
      <w:r>
        <w:separator/>
      </w:r>
    </w:p>
  </w:endnote>
  <w:endnote w:type="continuationSeparator" w:id="0">
    <w:p w:rsidR="005C3D2E" w:rsidRDefault="005C3D2E" w:rsidP="000F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2E" w:rsidRDefault="005C3D2E" w:rsidP="000F4BA9">
      <w:r>
        <w:separator/>
      </w:r>
    </w:p>
  </w:footnote>
  <w:footnote w:type="continuationSeparator" w:id="0">
    <w:p w:rsidR="005C3D2E" w:rsidRDefault="005C3D2E" w:rsidP="000F4BA9">
      <w:r>
        <w:continuationSeparator/>
      </w:r>
    </w:p>
  </w:footnote>
  <w:footnote w:id="1">
    <w:p w:rsidR="000F4BA9" w:rsidRPr="004D2FEC" w:rsidRDefault="000F4BA9" w:rsidP="000F4BA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0F4BA9" w:rsidRDefault="000F4BA9" w:rsidP="000F4BA9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0A"/>
    <w:rsid w:val="000F4BA9"/>
    <w:rsid w:val="00136E0A"/>
    <w:rsid w:val="003C5524"/>
    <w:rsid w:val="005C3D2E"/>
    <w:rsid w:val="00A21A97"/>
    <w:rsid w:val="00D7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BA9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F4B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F4B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BA9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F4B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F4B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Сергей Южанин</cp:lastModifiedBy>
  <cp:revision>3</cp:revision>
  <dcterms:created xsi:type="dcterms:W3CDTF">2019-03-22T07:36:00Z</dcterms:created>
  <dcterms:modified xsi:type="dcterms:W3CDTF">2019-03-26T11:56:00Z</dcterms:modified>
</cp:coreProperties>
</file>