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2F" w:rsidRDefault="005E582F" w:rsidP="004D62F6">
      <w:pPr>
        <w:jc w:val="both"/>
        <w:rPr>
          <w:b/>
        </w:rPr>
      </w:pPr>
    </w:p>
    <w:p w:rsidR="005E582F" w:rsidRPr="005E582F" w:rsidRDefault="005E582F" w:rsidP="005E582F">
      <w:pPr>
        <w:jc w:val="center"/>
        <w:rPr>
          <w:b/>
        </w:rPr>
      </w:pPr>
      <w:r w:rsidRPr="005E582F">
        <w:rPr>
          <w:b/>
        </w:rPr>
        <w:t>Описание объекта закупки (техническое задание)</w:t>
      </w:r>
    </w:p>
    <w:p w:rsidR="005E582F" w:rsidRDefault="005E582F" w:rsidP="004D62F6">
      <w:pPr>
        <w:jc w:val="both"/>
        <w:rPr>
          <w:b/>
        </w:rPr>
      </w:pPr>
    </w:p>
    <w:p w:rsidR="004D62F6" w:rsidRPr="00895926" w:rsidRDefault="004D62F6" w:rsidP="005E582F">
      <w:pPr>
        <w:ind w:firstLine="708"/>
        <w:jc w:val="both"/>
      </w:pPr>
      <w:r w:rsidRPr="00895926">
        <w:t>Изделия, удовлетворяющие следующим требованиям:</w:t>
      </w:r>
    </w:p>
    <w:p w:rsidR="004D62F6" w:rsidRDefault="004D62F6" w:rsidP="004D62F6">
      <w:pPr>
        <w:jc w:val="both"/>
        <w:rPr>
          <w:rFonts w:ascii="Times New Roman CYR" w:hAnsi="Times New Roman CYR" w:cs="Times New Roman CYR"/>
        </w:rPr>
      </w:pPr>
      <w:r>
        <w:t xml:space="preserve">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4D62F6" w:rsidRDefault="004D62F6" w:rsidP="004D62F6">
      <w:pPr>
        <w:widowControl w:val="0"/>
        <w:jc w:val="both"/>
        <w:rPr>
          <w:rFonts w:ascii="Times New Roman CYR" w:hAnsi="Times New Roman CYR" w:cs="Times New Roman CYR"/>
        </w:rPr>
      </w:pPr>
      <w:r>
        <w:t>2. Изделия должны быть в упаковке, обеспечивающей защиту от воздействия механических и климатических факторов (п. 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</w:p>
    <w:p w:rsidR="004D62F6" w:rsidRDefault="004D62F6" w:rsidP="004D62F6">
      <w:pPr>
        <w:widowControl w:val="0"/>
        <w:jc w:val="both"/>
      </w:pPr>
      <w:r>
        <w:t>3. Изделия должны быть новыми. Изделия должны быть свободными от прав третьих лиц.</w:t>
      </w:r>
    </w:p>
    <w:p w:rsidR="004D62F6" w:rsidRDefault="004D62F6" w:rsidP="004D62F6">
      <w:pPr>
        <w:widowControl w:val="0"/>
        <w:jc w:val="both"/>
      </w:pPr>
      <w:bookmarkStart w:id="0" w:name="_GoBack"/>
      <w:bookmarkEnd w:id="0"/>
      <w:r w:rsidRPr="00106D13">
        <w:t>4</w:t>
      </w:r>
      <w:r>
        <w:t>.</w:t>
      </w:r>
      <w:r w:rsidRPr="0022690F">
        <w:t xml:space="preserve"> </w:t>
      </w:r>
      <w:r>
        <w:rPr>
          <w:lang w:eastAsia="ar-SA"/>
        </w:rPr>
        <w:t>Изделия должны</w:t>
      </w:r>
      <w:r w:rsidRPr="0022690F">
        <w:rPr>
          <w:lang w:eastAsia="ar-SA"/>
        </w:rPr>
        <w:t xml:space="preserve"> отвечать следующим требованиям</w:t>
      </w:r>
      <w:r w:rsidRPr="0022690F">
        <w:rPr>
          <w:rStyle w:val="a5"/>
        </w:rPr>
        <w:footnoteReference w:id="1"/>
      </w:r>
      <w:r>
        <w:rPr>
          <w:lang w:eastAsia="ar-SA"/>
        </w:rPr>
        <w:t>:</w:t>
      </w:r>
      <w:r w:rsidRPr="0022690F">
        <w:rPr>
          <w:rStyle w:val="a5"/>
        </w:rPr>
        <w:t xml:space="preserve"> </w:t>
      </w:r>
    </w:p>
    <w:p w:rsidR="004D62F6" w:rsidRDefault="004D62F6" w:rsidP="004D62F6">
      <w:pPr>
        <w:widowControl w:val="0"/>
        <w:jc w:val="both"/>
      </w:pPr>
    </w:p>
    <w:tbl>
      <w:tblPr>
        <w:tblW w:w="104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160"/>
        <w:gridCol w:w="2009"/>
        <w:gridCol w:w="1560"/>
        <w:gridCol w:w="1500"/>
        <w:gridCol w:w="900"/>
      </w:tblGrid>
      <w:tr w:rsidR="004D62F6" w:rsidRPr="00404583" w:rsidTr="006470A2">
        <w:tc>
          <w:tcPr>
            <w:tcW w:w="540" w:type="dxa"/>
            <w:shd w:val="clear" w:color="auto" w:fill="auto"/>
          </w:tcPr>
          <w:p w:rsidR="004D62F6" w:rsidRPr="006B502E" w:rsidRDefault="004D62F6" w:rsidP="006470A2">
            <w:pPr>
              <w:widowControl w:val="0"/>
              <w:suppressAutoHyphens/>
              <w:snapToGrid w:val="0"/>
              <w:jc w:val="center"/>
            </w:pPr>
            <w:r w:rsidRPr="006B502E">
              <w:t>№</w:t>
            </w:r>
          </w:p>
          <w:p w:rsidR="004D62F6" w:rsidRPr="006B502E" w:rsidRDefault="004D62F6" w:rsidP="006470A2">
            <w:pPr>
              <w:widowControl w:val="0"/>
              <w:suppressAutoHyphens/>
              <w:snapToGrid w:val="0"/>
              <w:jc w:val="center"/>
            </w:pPr>
            <w:r w:rsidRPr="006B502E">
              <w:t>п/п</w:t>
            </w:r>
          </w:p>
        </w:tc>
        <w:tc>
          <w:tcPr>
            <w:tcW w:w="1800" w:type="dxa"/>
            <w:shd w:val="clear" w:color="auto" w:fill="auto"/>
          </w:tcPr>
          <w:p w:rsidR="004D62F6" w:rsidRPr="006B502E" w:rsidRDefault="004D62F6" w:rsidP="006470A2">
            <w:pPr>
              <w:widowControl w:val="0"/>
              <w:suppressAutoHyphens/>
              <w:jc w:val="center"/>
            </w:pPr>
            <w:r w:rsidRPr="006B502E">
              <w:t>Наименование Изделия</w:t>
            </w:r>
          </w:p>
        </w:tc>
        <w:tc>
          <w:tcPr>
            <w:tcW w:w="2160" w:type="dxa"/>
            <w:shd w:val="clear" w:color="auto" w:fill="auto"/>
          </w:tcPr>
          <w:p w:rsidR="004D62F6" w:rsidRPr="006B502E" w:rsidRDefault="004D62F6" w:rsidP="006470A2">
            <w:pPr>
              <w:widowControl w:val="0"/>
              <w:suppressAutoHyphens/>
              <w:snapToGrid w:val="0"/>
              <w:jc w:val="center"/>
            </w:pPr>
            <w:r w:rsidRPr="006B502E">
              <w:t>Характеристика Изделия</w:t>
            </w:r>
          </w:p>
        </w:tc>
        <w:tc>
          <w:tcPr>
            <w:tcW w:w="2009" w:type="dxa"/>
            <w:shd w:val="clear" w:color="auto" w:fill="auto"/>
          </w:tcPr>
          <w:p w:rsidR="004D62F6" w:rsidRPr="006B502E" w:rsidRDefault="004D62F6" w:rsidP="006470A2">
            <w:pPr>
              <w:widowControl w:val="0"/>
              <w:suppressAutoHyphens/>
              <w:snapToGrid w:val="0"/>
              <w:jc w:val="center"/>
            </w:pPr>
            <w:r w:rsidRPr="006B502E">
              <w:t>Наименование используемого товара</w:t>
            </w:r>
          </w:p>
        </w:tc>
        <w:tc>
          <w:tcPr>
            <w:tcW w:w="1560" w:type="dxa"/>
            <w:shd w:val="clear" w:color="auto" w:fill="auto"/>
          </w:tcPr>
          <w:p w:rsidR="004D62F6" w:rsidRPr="006B502E" w:rsidRDefault="004D62F6" w:rsidP="006470A2">
            <w:pPr>
              <w:widowControl w:val="0"/>
              <w:suppressAutoHyphens/>
              <w:snapToGrid w:val="0"/>
              <w:jc w:val="center"/>
            </w:pPr>
            <w:r w:rsidRPr="006B502E">
              <w:t xml:space="preserve">Показатель </w:t>
            </w:r>
            <w:r w:rsidRPr="006B502E">
              <w:rPr>
                <w:bCs/>
              </w:rPr>
              <w:t>характеристики используемого товара</w:t>
            </w:r>
          </w:p>
        </w:tc>
        <w:tc>
          <w:tcPr>
            <w:tcW w:w="1500" w:type="dxa"/>
            <w:shd w:val="clear" w:color="auto" w:fill="auto"/>
          </w:tcPr>
          <w:p w:rsidR="004D62F6" w:rsidRPr="006B502E" w:rsidRDefault="004D62F6" w:rsidP="006470A2">
            <w:pPr>
              <w:widowControl w:val="0"/>
              <w:suppressAutoHyphens/>
              <w:snapToGrid w:val="0"/>
              <w:jc w:val="center"/>
            </w:pPr>
            <w:r w:rsidRPr="006B502E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00" w:type="dxa"/>
            <w:shd w:val="clear" w:color="auto" w:fill="auto"/>
          </w:tcPr>
          <w:p w:rsidR="004D62F6" w:rsidRPr="006B502E" w:rsidRDefault="004D62F6" w:rsidP="006470A2">
            <w:pPr>
              <w:widowControl w:val="0"/>
              <w:suppressAutoHyphens/>
              <w:snapToGrid w:val="0"/>
              <w:jc w:val="center"/>
            </w:pPr>
            <w:r w:rsidRPr="006B502E">
              <w:t>Кол-во</w:t>
            </w:r>
          </w:p>
          <w:p w:rsidR="004D62F6" w:rsidRPr="006B502E" w:rsidRDefault="004D62F6" w:rsidP="006470A2">
            <w:pPr>
              <w:widowControl w:val="0"/>
              <w:suppressAutoHyphens/>
              <w:jc w:val="center"/>
            </w:pPr>
            <w:r w:rsidRPr="006B502E">
              <w:t>Изделий (шт.)</w:t>
            </w:r>
          </w:p>
          <w:p w:rsidR="004D62F6" w:rsidRPr="006B502E" w:rsidRDefault="004D62F6" w:rsidP="006470A2">
            <w:pPr>
              <w:widowControl w:val="0"/>
              <w:suppressAutoHyphens/>
              <w:jc w:val="center"/>
            </w:pPr>
          </w:p>
        </w:tc>
      </w:tr>
      <w:tr w:rsidR="004D62F6" w:rsidRPr="00404583" w:rsidTr="006470A2">
        <w:tc>
          <w:tcPr>
            <w:tcW w:w="540" w:type="dxa"/>
            <w:vMerge w:val="restart"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  <w:r w:rsidRPr="00A966DF">
              <w:t>1.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D62F6" w:rsidRPr="00A966DF" w:rsidRDefault="004D62F6" w:rsidP="006470A2">
            <w:r w:rsidRPr="00A966DF">
              <w:t>Аппарат на тазобедренный сустав</w:t>
            </w:r>
          </w:p>
          <w:p w:rsidR="004D62F6" w:rsidRPr="00A966DF" w:rsidRDefault="004D62F6" w:rsidP="006470A2">
            <w:r w:rsidRPr="00A966DF">
              <w:t> </w:t>
            </w:r>
          </w:p>
          <w:p w:rsidR="004D62F6" w:rsidRPr="00A966DF" w:rsidRDefault="004D62F6" w:rsidP="006470A2">
            <w:r w:rsidRPr="00A966DF">
              <w:t> 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D62F6" w:rsidRPr="00A966DF" w:rsidRDefault="004D62F6" w:rsidP="006470A2">
            <w:r w:rsidRPr="00A966DF">
              <w:t>Ортопедический аппарат для  восстановления двигательных функций и (или) предупреждения развития деформаций путём разгрузки или фиксации тазобедренного сустава в положении  достигаемой коррекции. Изготавливается по индивидуальным размерам получателя.</w:t>
            </w:r>
          </w:p>
        </w:tc>
        <w:tc>
          <w:tcPr>
            <w:tcW w:w="2009" w:type="dxa"/>
            <w:shd w:val="clear" w:color="auto" w:fill="auto"/>
          </w:tcPr>
          <w:p w:rsidR="004D62F6" w:rsidRPr="00A966DF" w:rsidRDefault="004D62F6" w:rsidP="006470A2">
            <w:proofErr w:type="spellStart"/>
            <w:r w:rsidRPr="00A966DF">
              <w:t>Полукорсет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D62F6" w:rsidRPr="00A966DF" w:rsidRDefault="004D62F6" w:rsidP="006470A2">
            <w:r w:rsidRPr="00A966DF">
              <w:t>наличие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4D62F6" w:rsidRPr="00DB759A" w:rsidRDefault="004D62F6" w:rsidP="006470A2">
            <w:pPr>
              <w:tabs>
                <w:tab w:val="left" w:pos="-342"/>
                <w:tab w:val="num" w:pos="552"/>
              </w:tabs>
              <w:jc w:val="center"/>
              <w:rPr>
                <w:kern w:val="1"/>
                <w:lang w:eastAsia="ar-SA"/>
              </w:rPr>
            </w:pPr>
            <w:r w:rsidRPr="00DB759A">
              <w:t>МЕТОДИЧЕСКИЕ РЕКОМЕНДАЦИИ ПО УСТАНОВЛЕНИЮ МЕДИЦИНСКИХ ПОКАЗАНИЙ И ПРОТИВОПОКАЗАНИЙ ПРИ НАЗНАЧЕНИИ СПЕЦИАЛИСТАМИ МЕДИКО-СОЦИАЛЬНОЙ ЭКСПЕРТИЗЫ ТЕХНИЧЕСКИХ СРЕДСТВ РЕАБИЛИТАЦИИ ИНВАЛИД</w:t>
            </w:r>
            <w:r w:rsidRPr="00DB759A">
              <w:lastRenderedPageBreak/>
              <w:t>А И МЕТОДИКА ИХ РАЦИОНАЛЬНОГО ПОДБОРА (Издание второе переработанное и дополненное) (далее -Методические рекомендации)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50</w:t>
            </w:r>
          </w:p>
        </w:tc>
      </w:tr>
      <w:tr w:rsidR="004D62F6" w:rsidRPr="00404583" w:rsidTr="006470A2">
        <w:tc>
          <w:tcPr>
            <w:tcW w:w="54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D62F6" w:rsidRPr="00A966DF" w:rsidRDefault="004D62F6" w:rsidP="006470A2"/>
        </w:tc>
        <w:tc>
          <w:tcPr>
            <w:tcW w:w="2160" w:type="dxa"/>
            <w:vMerge/>
            <w:shd w:val="clear" w:color="auto" w:fill="auto"/>
            <w:vAlign w:val="center"/>
          </w:tcPr>
          <w:p w:rsidR="004D62F6" w:rsidRPr="00A966DF" w:rsidRDefault="004D62F6" w:rsidP="006470A2"/>
        </w:tc>
        <w:tc>
          <w:tcPr>
            <w:tcW w:w="2009" w:type="dxa"/>
            <w:shd w:val="clear" w:color="auto" w:fill="auto"/>
          </w:tcPr>
          <w:p w:rsidR="004D62F6" w:rsidRPr="00A966DF" w:rsidRDefault="004D62F6" w:rsidP="006470A2">
            <w:r w:rsidRPr="00A966DF">
              <w:t>Гильза бедра</w:t>
            </w:r>
          </w:p>
        </w:tc>
        <w:tc>
          <w:tcPr>
            <w:tcW w:w="1560" w:type="dxa"/>
            <w:shd w:val="clear" w:color="auto" w:fill="auto"/>
          </w:tcPr>
          <w:p w:rsidR="004D62F6" w:rsidRPr="00A966DF" w:rsidRDefault="004D62F6" w:rsidP="006470A2">
            <w:r w:rsidRPr="00A966DF"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</w:tr>
      <w:tr w:rsidR="004D62F6" w:rsidRPr="00404583" w:rsidTr="006470A2">
        <w:tc>
          <w:tcPr>
            <w:tcW w:w="54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D62F6" w:rsidRPr="00A966DF" w:rsidRDefault="004D62F6" w:rsidP="006470A2"/>
        </w:tc>
        <w:tc>
          <w:tcPr>
            <w:tcW w:w="2160" w:type="dxa"/>
            <w:vMerge/>
            <w:shd w:val="clear" w:color="auto" w:fill="auto"/>
            <w:vAlign w:val="center"/>
          </w:tcPr>
          <w:p w:rsidR="004D62F6" w:rsidRPr="00A966DF" w:rsidRDefault="004D62F6" w:rsidP="006470A2"/>
        </w:tc>
        <w:tc>
          <w:tcPr>
            <w:tcW w:w="2009" w:type="dxa"/>
            <w:shd w:val="clear" w:color="auto" w:fill="auto"/>
          </w:tcPr>
          <w:p w:rsidR="004D62F6" w:rsidRPr="00A966DF" w:rsidRDefault="004D62F6" w:rsidP="006470A2">
            <w:r w:rsidRPr="00A966DF">
              <w:t>Шарнирные соединения</w:t>
            </w:r>
          </w:p>
        </w:tc>
        <w:tc>
          <w:tcPr>
            <w:tcW w:w="1560" w:type="dxa"/>
            <w:shd w:val="clear" w:color="auto" w:fill="auto"/>
          </w:tcPr>
          <w:p w:rsidR="004D62F6" w:rsidRPr="00A966DF" w:rsidRDefault="004D62F6" w:rsidP="006470A2">
            <w:r w:rsidRPr="00A966DF"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</w:tr>
      <w:tr w:rsidR="004D62F6" w:rsidRPr="00404583" w:rsidTr="006470A2">
        <w:tc>
          <w:tcPr>
            <w:tcW w:w="54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D62F6" w:rsidRPr="00A966DF" w:rsidRDefault="004D62F6" w:rsidP="006470A2"/>
        </w:tc>
        <w:tc>
          <w:tcPr>
            <w:tcW w:w="2160" w:type="dxa"/>
            <w:vMerge/>
            <w:shd w:val="clear" w:color="auto" w:fill="auto"/>
            <w:vAlign w:val="center"/>
          </w:tcPr>
          <w:p w:rsidR="004D62F6" w:rsidRPr="00A966DF" w:rsidRDefault="004D62F6" w:rsidP="006470A2"/>
        </w:tc>
        <w:tc>
          <w:tcPr>
            <w:tcW w:w="2009" w:type="dxa"/>
            <w:shd w:val="clear" w:color="auto" w:fill="auto"/>
          </w:tcPr>
          <w:p w:rsidR="004D62F6" w:rsidRPr="00A966DF" w:rsidRDefault="004D62F6" w:rsidP="006470A2">
            <w:r w:rsidRPr="00A966DF">
              <w:t xml:space="preserve">Шины бедра               </w:t>
            </w:r>
          </w:p>
        </w:tc>
        <w:tc>
          <w:tcPr>
            <w:tcW w:w="1560" w:type="dxa"/>
            <w:shd w:val="clear" w:color="auto" w:fill="auto"/>
          </w:tcPr>
          <w:p w:rsidR="004D62F6" w:rsidRPr="00A966DF" w:rsidRDefault="004D62F6" w:rsidP="006470A2">
            <w:r w:rsidRPr="00A966DF"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</w:tr>
      <w:tr w:rsidR="004D62F6" w:rsidRPr="00404583" w:rsidTr="006470A2">
        <w:tc>
          <w:tcPr>
            <w:tcW w:w="54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4D62F6" w:rsidRPr="00A966DF" w:rsidRDefault="004D62F6" w:rsidP="006470A2"/>
        </w:tc>
        <w:tc>
          <w:tcPr>
            <w:tcW w:w="2160" w:type="dxa"/>
            <w:vMerge/>
            <w:shd w:val="clear" w:color="auto" w:fill="auto"/>
          </w:tcPr>
          <w:p w:rsidR="004D62F6" w:rsidRPr="00A966DF" w:rsidRDefault="004D62F6" w:rsidP="006470A2"/>
        </w:tc>
        <w:tc>
          <w:tcPr>
            <w:tcW w:w="2009" w:type="dxa"/>
            <w:shd w:val="clear" w:color="auto" w:fill="auto"/>
          </w:tcPr>
          <w:p w:rsidR="004D62F6" w:rsidRPr="00A966DF" w:rsidRDefault="004D62F6" w:rsidP="006470A2">
            <w:r w:rsidRPr="00A966DF">
              <w:t xml:space="preserve">Два полукольца бедра </w:t>
            </w:r>
          </w:p>
        </w:tc>
        <w:tc>
          <w:tcPr>
            <w:tcW w:w="1560" w:type="dxa"/>
            <w:shd w:val="clear" w:color="auto" w:fill="auto"/>
          </w:tcPr>
          <w:p w:rsidR="004D62F6" w:rsidRPr="00A966DF" w:rsidRDefault="004D62F6" w:rsidP="006470A2">
            <w:r w:rsidRPr="00A966DF"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</w:tr>
      <w:tr w:rsidR="004D62F6" w:rsidRPr="00404583" w:rsidTr="006470A2">
        <w:tc>
          <w:tcPr>
            <w:tcW w:w="54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4D62F6" w:rsidRPr="00A966DF" w:rsidRDefault="004D62F6" w:rsidP="006470A2"/>
        </w:tc>
        <w:tc>
          <w:tcPr>
            <w:tcW w:w="2160" w:type="dxa"/>
            <w:vMerge/>
            <w:shd w:val="clear" w:color="auto" w:fill="auto"/>
          </w:tcPr>
          <w:p w:rsidR="004D62F6" w:rsidRPr="00A966DF" w:rsidRDefault="004D62F6" w:rsidP="006470A2"/>
        </w:tc>
        <w:tc>
          <w:tcPr>
            <w:tcW w:w="2009" w:type="dxa"/>
            <w:shd w:val="clear" w:color="auto" w:fill="auto"/>
          </w:tcPr>
          <w:p w:rsidR="004D62F6" w:rsidRPr="00A966DF" w:rsidRDefault="004D62F6" w:rsidP="006470A2">
            <w:r w:rsidRPr="00A966DF">
              <w:t xml:space="preserve">Шины </w:t>
            </w:r>
            <w:proofErr w:type="spellStart"/>
            <w:r w:rsidRPr="00A966DF">
              <w:t>полукорсета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D62F6" w:rsidRPr="00A966DF" w:rsidRDefault="004D62F6" w:rsidP="006470A2">
            <w:r w:rsidRPr="00A966DF"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</w:tr>
      <w:tr w:rsidR="004D62F6" w:rsidRPr="00404583" w:rsidTr="006470A2">
        <w:tc>
          <w:tcPr>
            <w:tcW w:w="540" w:type="dxa"/>
            <w:vMerge w:val="restart"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  <w:r w:rsidRPr="00A966DF">
              <w:lastRenderedPageBreak/>
              <w:t>2.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D62F6" w:rsidRPr="00A966DF" w:rsidRDefault="004D62F6" w:rsidP="006470A2">
            <w:r w:rsidRPr="00A966DF">
              <w:t>Аппарат на нижние конечности и туловище (</w:t>
            </w:r>
            <w:proofErr w:type="spellStart"/>
            <w:r w:rsidRPr="00A966DF">
              <w:t>ортез</w:t>
            </w:r>
            <w:proofErr w:type="spellEnd"/>
            <w:r w:rsidRPr="00A966DF">
              <w:t>)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D62F6" w:rsidRPr="00A966DF" w:rsidRDefault="004D62F6" w:rsidP="006470A2">
            <w:r w:rsidRPr="00A966DF">
              <w:t xml:space="preserve">Ортопедическое изделие, состоящее из двух аппаратов на всю ногу, соединённых с </w:t>
            </w:r>
            <w:proofErr w:type="spellStart"/>
            <w:r w:rsidRPr="00A966DF">
              <w:t>полукорсетом</w:t>
            </w:r>
            <w:proofErr w:type="spellEnd"/>
            <w:r w:rsidRPr="00A966DF">
              <w:t xml:space="preserve"> тазобедренными шарнирами. Гильзы аппаратов и </w:t>
            </w:r>
            <w:proofErr w:type="spellStart"/>
            <w:r w:rsidRPr="00A966DF">
              <w:t>полукорсета</w:t>
            </w:r>
            <w:proofErr w:type="spellEnd"/>
            <w:r w:rsidRPr="00A966DF">
              <w:t xml:space="preserve"> изготавливаются  с учётом размеров и веса получателя по индивидуальному слепку. </w:t>
            </w:r>
          </w:p>
        </w:tc>
        <w:tc>
          <w:tcPr>
            <w:tcW w:w="2009" w:type="dxa"/>
            <w:shd w:val="clear" w:color="auto" w:fill="auto"/>
          </w:tcPr>
          <w:p w:rsidR="004D62F6" w:rsidRPr="00A966DF" w:rsidRDefault="004D62F6" w:rsidP="006470A2">
            <w:r w:rsidRPr="00A966DF">
              <w:t>Ложемент стопы</w:t>
            </w:r>
          </w:p>
        </w:tc>
        <w:tc>
          <w:tcPr>
            <w:tcW w:w="1560" w:type="dxa"/>
            <w:shd w:val="clear" w:color="auto" w:fill="auto"/>
          </w:tcPr>
          <w:p w:rsidR="004D62F6" w:rsidRPr="00A966DF" w:rsidRDefault="004D62F6" w:rsidP="006470A2">
            <w:r w:rsidRPr="00A966DF">
              <w:t>наличие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  <w:r w:rsidRPr="00DB759A">
              <w:t>Методические рекомендации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  <w:r>
              <w:t>50</w:t>
            </w:r>
          </w:p>
        </w:tc>
      </w:tr>
      <w:tr w:rsidR="004D62F6" w:rsidRPr="00404583" w:rsidTr="006470A2">
        <w:tc>
          <w:tcPr>
            <w:tcW w:w="54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D62F6" w:rsidRPr="00A966DF" w:rsidRDefault="004D62F6" w:rsidP="006470A2"/>
        </w:tc>
        <w:tc>
          <w:tcPr>
            <w:tcW w:w="2160" w:type="dxa"/>
            <w:vMerge/>
            <w:shd w:val="clear" w:color="auto" w:fill="auto"/>
            <w:vAlign w:val="center"/>
          </w:tcPr>
          <w:p w:rsidR="004D62F6" w:rsidRPr="00A966DF" w:rsidRDefault="004D62F6" w:rsidP="006470A2"/>
        </w:tc>
        <w:tc>
          <w:tcPr>
            <w:tcW w:w="2009" w:type="dxa"/>
            <w:shd w:val="clear" w:color="auto" w:fill="auto"/>
          </w:tcPr>
          <w:p w:rsidR="004D62F6" w:rsidRPr="00A966DF" w:rsidRDefault="004D62F6" w:rsidP="006470A2">
            <w:r w:rsidRPr="00A966DF">
              <w:t>Элементы крепления</w:t>
            </w:r>
          </w:p>
        </w:tc>
        <w:tc>
          <w:tcPr>
            <w:tcW w:w="1560" w:type="dxa"/>
            <w:shd w:val="clear" w:color="auto" w:fill="auto"/>
          </w:tcPr>
          <w:p w:rsidR="004D62F6" w:rsidRPr="00A966DF" w:rsidRDefault="004D62F6" w:rsidP="006470A2">
            <w:r w:rsidRPr="00A966DF"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</w:tr>
      <w:tr w:rsidR="004D62F6" w:rsidRPr="00404583" w:rsidTr="006470A2">
        <w:tc>
          <w:tcPr>
            <w:tcW w:w="54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D62F6" w:rsidRPr="00A966DF" w:rsidRDefault="004D62F6" w:rsidP="006470A2"/>
        </w:tc>
        <w:tc>
          <w:tcPr>
            <w:tcW w:w="2160" w:type="dxa"/>
            <w:vMerge/>
            <w:shd w:val="clear" w:color="auto" w:fill="auto"/>
            <w:vAlign w:val="center"/>
          </w:tcPr>
          <w:p w:rsidR="004D62F6" w:rsidRPr="00A966DF" w:rsidRDefault="004D62F6" w:rsidP="006470A2"/>
        </w:tc>
        <w:tc>
          <w:tcPr>
            <w:tcW w:w="2009" w:type="dxa"/>
            <w:shd w:val="clear" w:color="auto" w:fill="auto"/>
          </w:tcPr>
          <w:p w:rsidR="004D62F6" w:rsidRPr="00A966DF" w:rsidRDefault="004D62F6" w:rsidP="006470A2">
            <w:r w:rsidRPr="00A966DF">
              <w:t>Шарнирные соединения</w:t>
            </w:r>
          </w:p>
        </w:tc>
        <w:tc>
          <w:tcPr>
            <w:tcW w:w="1560" w:type="dxa"/>
            <w:shd w:val="clear" w:color="auto" w:fill="auto"/>
          </w:tcPr>
          <w:p w:rsidR="004D62F6" w:rsidRPr="00A966DF" w:rsidRDefault="004D62F6" w:rsidP="006470A2">
            <w:r w:rsidRPr="00A966DF"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</w:tr>
      <w:tr w:rsidR="004D62F6" w:rsidRPr="00404583" w:rsidTr="006470A2">
        <w:tc>
          <w:tcPr>
            <w:tcW w:w="54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jc w:val="center"/>
            </w:pPr>
          </w:p>
        </w:tc>
        <w:tc>
          <w:tcPr>
            <w:tcW w:w="216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009" w:type="dxa"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</w:pPr>
            <w:r w:rsidRPr="00A966DF">
              <w:t>Тазобедренные и коленные шарниры – замковые</w:t>
            </w:r>
          </w:p>
        </w:tc>
        <w:tc>
          <w:tcPr>
            <w:tcW w:w="1560" w:type="dxa"/>
            <w:shd w:val="clear" w:color="auto" w:fill="auto"/>
          </w:tcPr>
          <w:p w:rsidR="004D62F6" w:rsidRPr="00A966DF" w:rsidRDefault="004D62F6" w:rsidP="006470A2">
            <w:r w:rsidRPr="00A966DF"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</w:p>
        </w:tc>
      </w:tr>
      <w:tr w:rsidR="004D62F6" w:rsidRPr="00404583" w:rsidTr="006470A2">
        <w:tc>
          <w:tcPr>
            <w:tcW w:w="9569" w:type="dxa"/>
            <w:gridSpan w:val="6"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right"/>
            </w:pPr>
            <w:r w:rsidRPr="00A966DF">
              <w:t>Итого:</w:t>
            </w:r>
          </w:p>
        </w:tc>
        <w:tc>
          <w:tcPr>
            <w:tcW w:w="900" w:type="dxa"/>
            <w:shd w:val="clear" w:color="auto" w:fill="auto"/>
          </w:tcPr>
          <w:p w:rsidR="004D62F6" w:rsidRPr="00A966DF" w:rsidRDefault="004D62F6" w:rsidP="006470A2">
            <w:pPr>
              <w:widowControl w:val="0"/>
              <w:suppressAutoHyphens/>
              <w:snapToGrid w:val="0"/>
              <w:jc w:val="center"/>
            </w:pPr>
            <w:r>
              <w:t>100</w:t>
            </w:r>
          </w:p>
        </w:tc>
      </w:tr>
    </w:tbl>
    <w:p w:rsidR="00E77465" w:rsidRDefault="00E77465"/>
    <w:sectPr w:rsidR="00E77465" w:rsidSect="004D62F6">
      <w:pgSz w:w="11906" w:h="16838"/>
      <w:pgMar w:top="426" w:right="73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89" w:rsidRDefault="00666189" w:rsidP="004D62F6">
      <w:r>
        <w:separator/>
      </w:r>
    </w:p>
  </w:endnote>
  <w:endnote w:type="continuationSeparator" w:id="0">
    <w:p w:rsidR="00666189" w:rsidRDefault="00666189" w:rsidP="004D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89" w:rsidRDefault="00666189" w:rsidP="004D62F6">
      <w:r>
        <w:separator/>
      </w:r>
    </w:p>
  </w:footnote>
  <w:footnote w:type="continuationSeparator" w:id="0">
    <w:p w:rsidR="00666189" w:rsidRDefault="00666189" w:rsidP="004D62F6">
      <w:r>
        <w:continuationSeparator/>
      </w:r>
    </w:p>
  </w:footnote>
  <w:footnote w:id="1">
    <w:p w:rsidR="004D62F6" w:rsidRPr="004D2FEC" w:rsidRDefault="004D62F6" w:rsidP="004D62F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4D62F6" w:rsidRDefault="004D62F6" w:rsidP="004D62F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6B"/>
    <w:rsid w:val="004D62F6"/>
    <w:rsid w:val="005E582F"/>
    <w:rsid w:val="00666189"/>
    <w:rsid w:val="00867656"/>
    <w:rsid w:val="00C9676B"/>
    <w:rsid w:val="00E7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62F6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D6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D62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62F6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D6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D6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Сергей Южанин</cp:lastModifiedBy>
  <cp:revision>3</cp:revision>
  <dcterms:created xsi:type="dcterms:W3CDTF">2019-02-12T13:24:00Z</dcterms:created>
  <dcterms:modified xsi:type="dcterms:W3CDTF">2019-03-13T10:10:00Z</dcterms:modified>
</cp:coreProperties>
</file>