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427B62">
        <w:t>Оказание услуг по санаторно-</w:t>
      </w:r>
      <w:r w:rsidR="00221BCD" w:rsidRPr="00221BCD">
        <w:t>курортному лечению граждан - получателей государственной социальной помощи в виде набора с</w:t>
      </w:r>
      <w:r w:rsidR="004E6027">
        <w:t>оциальных</w:t>
      </w:r>
      <w:r w:rsidR="00C768BB">
        <w:t xml:space="preserve"> услуг</w:t>
      </w:r>
      <w:r w:rsidR="004E6027">
        <w:t xml:space="preserve"> </w:t>
      </w:r>
      <w:r w:rsidR="00991D0B" w:rsidRPr="00991D0B">
        <w:t xml:space="preserve">с </w:t>
      </w:r>
      <w:r w:rsidR="000416A2">
        <w:t>болезнями нервной системы и опорно-двигательного аппарата.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4D60CC" w:rsidRPr="004D60CC">
        <w:t>C даты заключения государст</w:t>
      </w:r>
      <w:r w:rsidR="00427B62">
        <w:t>венного контракта в течение 2019</w:t>
      </w:r>
      <w:r w:rsidR="004D60CC" w:rsidRPr="004D60CC">
        <w:t xml:space="preserve"> го</w:t>
      </w:r>
      <w:r w:rsidR="00427B62">
        <w:t>да, последний заезд не позднее 31 октября 2019</w:t>
      </w:r>
      <w:r w:rsidR="004D60CC" w:rsidRPr="004D60CC">
        <w:t xml:space="preserve"> года</w:t>
      </w:r>
      <w:r w:rsidR="00A8668F" w:rsidRPr="00D13394">
        <w:t>.</w:t>
      </w:r>
    </w:p>
    <w:p w:rsidR="00896544" w:rsidRPr="00D13394" w:rsidRDefault="00C91E2A" w:rsidP="00896544">
      <w:pPr>
        <w:jc w:val="both"/>
      </w:pPr>
      <w:r w:rsidRPr="00D13394">
        <w:rPr>
          <w:b/>
        </w:rPr>
        <w:t>Место оказания услуг</w:t>
      </w:r>
      <w:r w:rsidRPr="00163030">
        <w:rPr>
          <w:b/>
        </w:rPr>
        <w:t>:</w:t>
      </w:r>
      <w:r w:rsidRPr="00163030">
        <w:t xml:space="preserve"> </w:t>
      </w:r>
      <w:r w:rsidR="00163030" w:rsidRPr="00163030">
        <w:t>Ставропольский край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8C4E2F">
        <w:rPr>
          <w:bCs/>
          <w:iCs/>
        </w:rPr>
        <w:t>50 путевок (900</w:t>
      </w:r>
      <w:r w:rsidR="00703677">
        <w:rPr>
          <w:bCs/>
          <w:iCs/>
        </w:rPr>
        <w:t xml:space="preserve"> койко-дней)</w:t>
      </w:r>
      <w:bookmarkStart w:id="0" w:name="_GoBack"/>
      <w:bookmarkEnd w:id="0"/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703677">
        <w:t xml:space="preserve"> – 18</w:t>
      </w:r>
      <w:r>
        <w:t xml:space="preserve"> дней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B049F" w:rsidRPr="00797E46">
        <w:t>№291</w:t>
      </w:r>
      <w:r w:rsidR="00EB049F">
        <w:t xml:space="preserve"> </w:t>
      </w:r>
      <w:r w:rsidR="00A81546">
        <w:t>«</w:t>
      </w:r>
      <w:r w:rsidR="00EB04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81546">
        <w:t>»</w:t>
      </w:r>
      <w:r w:rsidR="00EB049F" w:rsidRPr="00797E46">
        <w:t xml:space="preserve"> по специальностям (специализациям), согласно профи</w:t>
      </w:r>
      <w:r w:rsidR="00EB049F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="00C20572" w:rsidRPr="003D1EE2">
        <w:t xml:space="preserve">22.11.2004 </w:t>
      </w:r>
      <w:r w:rsidR="00C20572" w:rsidRPr="00590478">
        <w:t>№217 «Об утверждении  стандарта санаторно-курортной помощи больным с воспалительными болезнями центральной нервной системы»</w:t>
      </w:r>
      <w:r w:rsidR="00C20572">
        <w:t xml:space="preserve">, </w:t>
      </w:r>
      <w:r w:rsidR="00C20572" w:rsidRPr="009B71CC">
        <w:t xml:space="preserve">№214 «Об утверждении санаторно-курортной помощи больным с поражением отдельных нервов, нервных корешков и сплетений, </w:t>
      </w:r>
      <w:proofErr w:type="spellStart"/>
      <w:r w:rsidR="00C20572" w:rsidRPr="009B71CC">
        <w:lastRenderedPageBreak/>
        <w:t>полиневропатиями</w:t>
      </w:r>
      <w:proofErr w:type="spellEnd"/>
      <w:r w:rsidR="00C20572" w:rsidRPr="009B71CC">
        <w:t xml:space="preserve"> и другими поражениями периферической нервной системы»,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C20572" w:rsidRPr="009B71CC">
        <w:t>артропатии</w:t>
      </w:r>
      <w:proofErr w:type="spellEnd"/>
      <w:r w:rsidR="00C20572" w:rsidRPr="009B71CC">
        <w:t xml:space="preserve">, инфекционные </w:t>
      </w:r>
      <w:proofErr w:type="spellStart"/>
      <w:r w:rsidR="00C20572" w:rsidRPr="009B71CC">
        <w:t>артропатии</w:t>
      </w:r>
      <w:proofErr w:type="spellEnd"/>
      <w:r w:rsidR="00C20572" w:rsidRPr="009B71CC">
        <w:t xml:space="preserve">, воспалительные </w:t>
      </w:r>
      <w:proofErr w:type="spellStart"/>
      <w:r w:rsidR="00C20572" w:rsidRPr="009B71CC">
        <w:t>артропатии</w:t>
      </w:r>
      <w:proofErr w:type="spellEnd"/>
      <w:r w:rsidR="00C20572" w:rsidRPr="009B71CC">
        <w:t>, артрозы, другие поражения суставов)»</w:t>
      </w:r>
      <w:r>
        <w:t xml:space="preserve"> и т.д.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 w:rsidR="003A638D"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416A2"/>
    <w:rsid w:val="00091D4B"/>
    <w:rsid w:val="000A19E8"/>
    <w:rsid w:val="00100382"/>
    <w:rsid w:val="00100EE6"/>
    <w:rsid w:val="00163030"/>
    <w:rsid w:val="00172C96"/>
    <w:rsid w:val="001D37E5"/>
    <w:rsid w:val="00207251"/>
    <w:rsid w:val="00221BCD"/>
    <w:rsid w:val="00263D06"/>
    <w:rsid w:val="00264B99"/>
    <w:rsid w:val="002831A8"/>
    <w:rsid w:val="002B4A4A"/>
    <w:rsid w:val="002E581F"/>
    <w:rsid w:val="003A638D"/>
    <w:rsid w:val="003D1CF7"/>
    <w:rsid w:val="003D1EE2"/>
    <w:rsid w:val="00427B62"/>
    <w:rsid w:val="004A0879"/>
    <w:rsid w:val="004D60CC"/>
    <w:rsid w:val="004E6027"/>
    <w:rsid w:val="0053248D"/>
    <w:rsid w:val="00590478"/>
    <w:rsid w:val="005A15B7"/>
    <w:rsid w:val="005A20B6"/>
    <w:rsid w:val="005C095B"/>
    <w:rsid w:val="005F5416"/>
    <w:rsid w:val="006002AD"/>
    <w:rsid w:val="00631614"/>
    <w:rsid w:val="006778D1"/>
    <w:rsid w:val="006E6CB1"/>
    <w:rsid w:val="00702810"/>
    <w:rsid w:val="00703677"/>
    <w:rsid w:val="00721FA9"/>
    <w:rsid w:val="00793579"/>
    <w:rsid w:val="00797313"/>
    <w:rsid w:val="00797E46"/>
    <w:rsid w:val="007E58D7"/>
    <w:rsid w:val="007E6E95"/>
    <w:rsid w:val="00896544"/>
    <w:rsid w:val="00897ADA"/>
    <w:rsid w:val="008C4E2F"/>
    <w:rsid w:val="00904CAA"/>
    <w:rsid w:val="009557D7"/>
    <w:rsid w:val="00963A58"/>
    <w:rsid w:val="00976400"/>
    <w:rsid w:val="00991D0B"/>
    <w:rsid w:val="009B7530"/>
    <w:rsid w:val="009E30C4"/>
    <w:rsid w:val="009E73AF"/>
    <w:rsid w:val="009F49E2"/>
    <w:rsid w:val="00A72774"/>
    <w:rsid w:val="00A81546"/>
    <w:rsid w:val="00A8668F"/>
    <w:rsid w:val="00BC48BC"/>
    <w:rsid w:val="00C20572"/>
    <w:rsid w:val="00C657B5"/>
    <w:rsid w:val="00C768BB"/>
    <w:rsid w:val="00C91E2A"/>
    <w:rsid w:val="00CE6501"/>
    <w:rsid w:val="00D1014C"/>
    <w:rsid w:val="00D13394"/>
    <w:rsid w:val="00D16785"/>
    <w:rsid w:val="00DF561C"/>
    <w:rsid w:val="00E57543"/>
    <w:rsid w:val="00E858C7"/>
    <w:rsid w:val="00EB049F"/>
    <w:rsid w:val="00FC69A5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14</cp:revision>
  <cp:lastPrinted>2016-02-01T12:24:00Z</cp:lastPrinted>
  <dcterms:created xsi:type="dcterms:W3CDTF">2018-10-25T05:19:00Z</dcterms:created>
  <dcterms:modified xsi:type="dcterms:W3CDTF">2019-05-16T11:30:00Z</dcterms:modified>
</cp:coreProperties>
</file>