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изготовлению протезов верхних конечностей и обеспечение ими пострадавших от несчастных случаев на производстве и про</w:t>
      </w:r>
      <w:r w:rsidR="0028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фессиональных заболеваний в 2019</w:t>
      </w: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8679E" w:rsidRPr="0018679E" w:rsidRDefault="0018679E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1.Наименование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медицинской реабилитации граждан – пострадавших вследствие несчастных случаев на производстве и профессиональных заболеваний, в организациях, выполняющих работы по изготовлению и обеспечению пострадавших протезами верхних конечностей.</w:t>
      </w:r>
    </w:p>
    <w:p w:rsid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</w:p>
    <w:p w:rsidR="00003B65" w:rsidRPr="0018679E" w:rsidRDefault="00003B65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2.Требования к качеству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верхней конечности представлен в Национальном стандарте ГОСТ Р ИСО 9999-2014 «Вспомогательные средства для людей с ограничениями жизнедеятельности. Классификация и терминология». Государственного стандарта Российской Федерации ГОСТ Р 51632-2014 «Технические средства реабилитации людей с ограничениями жизнедеятельности, Государственного стандарта Россий</w:t>
      </w:r>
      <w:r w:rsidR="00283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ГОСТ Р 51819-2017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«Протезирование и </w:t>
      </w:r>
      <w:proofErr w:type="spellStart"/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</w:t>
      </w: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определения», а также </w:t>
      </w:r>
      <w:r w:rsidR="006D4D6E" w:rsidRPr="006D4D6E">
        <w:rPr>
          <w:rFonts w:ascii="Times New Roman" w:hAnsi="Times New Roman" w:cs="Times New Roman"/>
          <w:sz w:val="24"/>
          <w:szCs w:val="24"/>
        </w:rPr>
        <w:t xml:space="preserve">ГОСТ Р 57765-2017. Национальный стандарт Российской Федерации. </w:t>
      </w:r>
      <w:r w:rsidR="00AB075F">
        <w:rPr>
          <w:rFonts w:ascii="Times New Roman" w:hAnsi="Times New Roman" w:cs="Times New Roman"/>
          <w:sz w:val="24"/>
          <w:szCs w:val="24"/>
        </w:rPr>
        <w:t>«</w:t>
      </w:r>
      <w:r w:rsidR="006D4D6E" w:rsidRPr="006D4D6E">
        <w:rPr>
          <w:rFonts w:ascii="Times New Roman" w:hAnsi="Times New Roman" w:cs="Times New Roman"/>
          <w:sz w:val="24"/>
          <w:szCs w:val="24"/>
        </w:rPr>
        <w:t>Изделия протезно-ортопедические. Общие технические требования</w:t>
      </w:r>
      <w:r w:rsidR="00AB075F">
        <w:rPr>
          <w:rFonts w:ascii="Times New Roman" w:hAnsi="Times New Roman" w:cs="Times New Roman"/>
          <w:sz w:val="24"/>
          <w:szCs w:val="24"/>
        </w:rPr>
        <w:t>»</w:t>
      </w:r>
      <w:r w:rsidR="006D4D6E">
        <w:rPr>
          <w:rFonts w:ascii="Times New Roman" w:hAnsi="Times New Roman" w:cs="Times New Roman"/>
          <w:sz w:val="24"/>
          <w:szCs w:val="24"/>
        </w:rPr>
        <w:t>.</w:t>
      </w:r>
    </w:p>
    <w:p w:rsidR="0018679E" w:rsidRPr="0018679E" w:rsidRDefault="0018679E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техническим и функциональным характеристикам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Выполняемые работы по обеспечению пострадавших протезами верхних конечностей должны содержать </w:t>
      </w:r>
      <w:r w:rsidRPr="0047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пациентом, имеющим нарушения и (или) дефекты опорно-двигательного аппарата, в целях восстановления или нарушения компенсации ограничений его жизнедеятельности.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кисть имитирует форму естественной кисти и воспроизводит часть ее функций.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Косметическая кисть предназначается для восполнения внешнего вида утраченной кисти и не имеет двигательных функций.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Многофункциональная кисть имеет конструкцию, которая позволяет выполнять несколько видов захвата.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Косметический протез конечности восполняет форму, и внешний вид отсутствующей ее части. </w:t>
      </w:r>
    </w:p>
    <w:p w:rsidR="00003B65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безопасности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 по обеспечению пострадавших протезами верхних конечностей должны удовлетворять всем изложенным в настоящей документации требованиям Заказчика. Исполнитель должен гарантировать безопасность эксплуатации изделий.</w:t>
      </w:r>
    </w:p>
    <w:p w:rsidR="00003B65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5.Требования к результатам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пострадавшего от несчастного случая на производстве протезами верхних конечностей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протезами должны быть выполнены с надлежащим качеством и в установленные сроки.</w:t>
      </w:r>
    </w:p>
    <w:p w:rsidR="00003B65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6.Требования к размерам, упаковке изделий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отправка протезов к месту нахождения пострадавших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88)/</w:t>
      </w:r>
      <w:proofErr w:type="gramEnd"/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50267.0-92(МЭК 601-1-88) «Изделия медицинские электрические. Часть 1.Общие требования безопасности» и ГОСТ Р 51632-2014</w:t>
      </w: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</w:t>
      </w:r>
      <w:r w:rsidR="00F6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старения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003B65" w:rsidRPr="0018679E" w:rsidRDefault="00003B65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7.Требования к срокам и (или) объему предоставления гарантии качества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BA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протезы устанавливается со дня выдачи г</w:t>
      </w:r>
      <w:r w:rsidR="001C3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отового изделия в эксплуатацию</w:t>
      </w:r>
      <w:r w:rsidR="006D4D6E" w:rsidRPr="006D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79E" w:rsidRPr="0018679E" w:rsidRDefault="001C3DBA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679E"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протезы верхних конечностей – не менее 7 (Семи) месяцев.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этого срока предприятие-изготовитель производит замену или ремонт изделия бесплатно.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протезно-ортопедическое изделие должен соответствовать ТУ.</w:t>
      </w:r>
    </w:p>
    <w:p w:rsidR="00003B65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0FC" w:rsidRDefault="002540FC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Место, условия и сроки выполнения работ</w:t>
      </w:r>
    </w:p>
    <w:p w:rsidR="00003B65" w:rsidRPr="0018679E" w:rsidRDefault="00003B65" w:rsidP="00003B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5" w:rsidRPr="00E7243A" w:rsidRDefault="00505245" w:rsidP="005052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3A">
        <w:rPr>
          <w:rFonts w:ascii="Times New Roman" w:hAnsi="Times New Roman" w:cs="Times New Roman"/>
          <w:spacing w:val="-4"/>
          <w:sz w:val="24"/>
          <w:szCs w:val="24"/>
        </w:rPr>
        <w:t xml:space="preserve">Место выполнения работ: </w:t>
      </w:r>
      <w:r w:rsidRPr="00E7243A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A20ADA" w:rsidRDefault="008876E6" w:rsidP="008876E6">
      <w:pPr>
        <w:spacing w:before="100" w:beforeAutospacing="1" w:after="100" w:afterAutospacing="1" w:line="240" w:lineRule="auto"/>
        <w:ind w:firstLine="3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работ по изготовлению протезов верхних конечностей осуществляется в течение 30 (Тридцати) дней с даты получения направления от Получателя.</w:t>
      </w:r>
    </w:p>
    <w:p w:rsidR="008876E6" w:rsidRPr="008876E6" w:rsidRDefault="008876E6" w:rsidP="008876E6">
      <w:pPr>
        <w:spacing w:before="100" w:beforeAutospacing="1" w:after="100" w:afterAutospacing="1" w:line="240" w:lineRule="auto"/>
        <w:ind w:firstLine="3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</w:t>
      </w:r>
      <w:r w:rsidR="0028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лнения </w:t>
      </w:r>
      <w:r w:rsidR="0008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работ: до 17</w:t>
      </w:r>
      <w:r w:rsidR="00283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</w:t>
      </w:r>
      <w:r w:rsidRPr="0088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3B65" w:rsidRDefault="00003B65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количественным и качественным характеристикам изделий</w:t>
      </w:r>
    </w:p>
    <w:p w:rsidR="00082064" w:rsidRDefault="00082064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064" w:rsidRDefault="00082064" w:rsidP="0008206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34A33" w:rsidRPr="00213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– 19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Девятнадцать</w:t>
      </w: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протезов.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ind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работ по изготовлению протезов верхних конечностей, а также их количество и цена указаны в таблице № 1.</w:t>
      </w:r>
    </w:p>
    <w:p w:rsidR="0018679E" w:rsidRPr="0018679E" w:rsidRDefault="0018679E" w:rsidP="00003B6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8679E" w:rsidRPr="0018679E" w:rsidRDefault="0018679E" w:rsidP="00003B65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4253"/>
        <w:gridCol w:w="992"/>
        <w:gridCol w:w="851"/>
        <w:gridCol w:w="1134"/>
      </w:tblGrid>
      <w:tr w:rsidR="00241EBB" w:rsidRPr="00FF1D70" w:rsidTr="00DB4D8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FF1D70" w:rsidRDefault="0008206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1D70">
              <w:rPr>
                <w:rFonts w:ascii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8E2637" w:rsidRDefault="0008206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E2637">
              <w:rPr>
                <w:rFonts w:ascii="Times New Roman CYR" w:eastAsia="Times New Roman CYR" w:hAnsi="Times New Roman CYR" w:cs="Times New Roman CYR"/>
                <w:b/>
                <w:bCs/>
                <w:sz w:val="20"/>
                <w:lang w:bidi="ru-RU"/>
              </w:rPr>
              <w:t>Вид технического средства реабилитации, наименование протеза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FF1D70" w:rsidRDefault="0008206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1D70">
              <w:rPr>
                <w:rFonts w:ascii="Times New Roman" w:hAnsi="Times New Roman" w:cs="Times New Roman"/>
                <w:b/>
                <w:color w:val="000000"/>
                <w:sz w:val="20"/>
              </w:rPr>
              <w:t>Функциональные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2064" w:rsidRPr="00FF1D70" w:rsidRDefault="0008206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F1D70">
              <w:rPr>
                <w:rFonts w:ascii="Times New Roman" w:hAnsi="Times New Roman" w:cs="Times New Roman"/>
                <w:b/>
                <w:color w:val="000000"/>
                <w:sz w:val="20"/>
              </w:rPr>
              <w:t>Цена, руб. коп.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FF1D70" w:rsidRDefault="0008206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FF1D70">
              <w:rPr>
                <w:rFonts w:ascii="Times New Roman" w:hAnsi="Times New Roman" w:cs="Times New Roman"/>
                <w:b/>
                <w:color w:val="000000"/>
                <w:sz w:val="20"/>
              </w:rPr>
              <w:t>Коли-</w:t>
            </w:r>
            <w:proofErr w:type="spellStart"/>
            <w:r w:rsidRPr="00FF1D70">
              <w:rPr>
                <w:rFonts w:ascii="Times New Roman" w:hAnsi="Times New Roman" w:cs="Times New Roman"/>
                <w:b/>
                <w:color w:val="000000"/>
                <w:sz w:val="20"/>
              </w:rPr>
              <w:t>чество</w:t>
            </w:r>
            <w:proofErr w:type="spellEnd"/>
            <w:proofErr w:type="gramEnd"/>
            <w:r w:rsidRPr="00FF1D70">
              <w:rPr>
                <w:rFonts w:ascii="Times New Roman" w:hAnsi="Times New Roman" w:cs="Times New Roman"/>
                <w:b/>
                <w:color w:val="000000"/>
                <w:sz w:val="20"/>
              </w:rPr>
              <w:t>, шт.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FF1D70" w:rsidRDefault="00082064" w:rsidP="00461B8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Сумма, руб. коп.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2521EF" w:rsidRDefault="00082064" w:rsidP="00C4242A">
            <w:pPr>
              <w:spacing w:line="220" w:lineRule="atLeast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Протез части кисти руки.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913578" w:rsidRDefault="00082064" w:rsidP="00461B8D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кисти косметический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. при вычленении и частичном вычленении кисти.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Протез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должен быть предназначен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при частичной ампутации кис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ти, в том числе протезы пальцев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; кисть косметическая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должна быть изготовлена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из ПВХ; дополнительное РСУ отсутствует; приспособления отсутствуют, оболочка косметическая: отсутствует; тип крепления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должен быть: подгоночным.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913578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8650,00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913578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 w:rsidRPr="009135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CE09A8" w:rsidRDefault="00082064" w:rsidP="00C4242A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Протез части кисти руки.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2064" w:rsidRPr="000E3D37" w:rsidRDefault="00082064" w:rsidP="00461B8D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кисти косметический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. при вычленении и частичном вычленении кисти. 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Протез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должен быть предназначен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при частичной ампутации кисти, в том числе протезы </w:t>
            </w:r>
            <w:r w:rsidRPr="000E3D37">
              <w:rPr>
                <w:rFonts w:ascii="Times New Roman" w:eastAsia="Tahoma" w:hAnsi="Times New Roman" w:cs="Times New Roman"/>
                <w:sz w:val="20"/>
              </w:rPr>
              <w:t xml:space="preserve">пальцев косметические; </w:t>
            </w:r>
            <w:r w:rsidRPr="000E3D37">
              <w:rPr>
                <w:rFonts w:ascii="Times New Roman" w:hAnsi="Times New Roman" w:cs="Times New Roman"/>
                <w:sz w:val="20"/>
              </w:rPr>
              <w:t>кисть косметическая</w:t>
            </w:r>
            <w:r>
              <w:rPr>
                <w:rFonts w:ascii="Times New Roman" w:hAnsi="Times New Roman" w:cs="Times New Roman"/>
                <w:sz w:val="20"/>
              </w:rPr>
              <w:t xml:space="preserve"> должна быть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силиконо</w:t>
            </w:r>
            <w:r>
              <w:rPr>
                <w:rFonts w:ascii="Times New Roman" w:hAnsi="Times New Roman" w:cs="Times New Roman"/>
                <w:sz w:val="20"/>
              </w:rPr>
              <w:t>вая с несъемной формообразующей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арматурой в пальцах</w:t>
            </w:r>
            <w:r w:rsidRPr="000E3D37">
              <w:rPr>
                <w:rFonts w:ascii="Times New Roman" w:eastAsia="Tahoma" w:hAnsi="Times New Roman" w:cs="Times New Roman"/>
                <w:sz w:val="20"/>
              </w:rPr>
              <w:t>; дополнительное РСУ отсутствует; приспособления отсу</w:t>
            </w:r>
            <w:r>
              <w:rPr>
                <w:rFonts w:ascii="Times New Roman" w:eastAsia="Tahoma" w:hAnsi="Times New Roman" w:cs="Times New Roman"/>
                <w:sz w:val="20"/>
              </w:rPr>
              <w:t>тствуют, оболочка косметическая</w:t>
            </w:r>
            <w:r w:rsidRPr="000E3D37">
              <w:rPr>
                <w:rFonts w:ascii="Times New Roman" w:eastAsia="Tahoma" w:hAnsi="Times New Roman" w:cs="Times New Roman"/>
                <w:sz w:val="20"/>
              </w:rPr>
              <w:t xml:space="preserve"> отсутствует; тип крепления</w:t>
            </w:r>
            <w:r>
              <w:rPr>
                <w:rFonts w:ascii="Times New Roman" w:eastAsia="Tahoma" w:hAnsi="Times New Roman" w:cs="Times New Roman"/>
                <w:sz w:val="20"/>
              </w:rPr>
              <w:t xml:space="preserve"> должен быть</w:t>
            </w:r>
            <w:r w:rsidRPr="000E3D37">
              <w:rPr>
                <w:rFonts w:ascii="Times New Roman" w:eastAsia="Tahoma" w:hAnsi="Times New Roman" w:cs="Times New Roman"/>
                <w:sz w:val="20"/>
              </w:rPr>
              <w:t>: замок молния.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E26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40175,00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160700,00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Протез кисти руки управляемый телом.</w:t>
            </w:r>
          </w:p>
          <w:p w:rsidR="00082064" w:rsidRPr="00CE09A8" w:rsidRDefault="00082064" w:rsidP="00461B8D">
            <w:pPr>
              <w:widowControl w:val="0"/>
              <w:autoSpaceDE w:val="0"/>
              <w:snapToGrid w:val="0"/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913578" w:rsidRDefault="00082064" w:rsidP="00461B8D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113C15">
              <w:rPr>
                <w:rFonts w:ascii="Times New Roman CYR" w:hAnsi="Times New Roman CYR" w:cs="Times New Roman CYR"/>
                <w:color w:val="000000"/>
                <w:sz w:val="20"/>
              </w:rPr>
              <w:t>Протез кисти активный (тяговый), в том числе при вычленении и частичном вычленении кисти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.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Протез кисти; активный, система управления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механическая, сохранившейся рукой или </w:t>
            </w:r>
            <w:proofErr w:type="spellStart"/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>противоупором</w:t>
            </w:r>
            <w:proofErr w:type="spellEnd"/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>; кисть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 должна быть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 функционально-косметическая каркасная с фиксацией блока IV–V пальцев; локоть-предплечье отсутствует; дополнительное РСУ отсутствует, функция ротации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 должна быть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 реализована в составе модуля кисти, ротатор кистевой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 должен быть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 с адаптером, для присоединения рабочих насадок, с </w:t>
            </w:r>
            <w:r w:rsidRPr="00EE0F0C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цилиндрическим хвостовиком не менее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10 мм;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оболочка косметическая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ПВХ/пластизоль без покрытия; гильза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индивидуальная одинарная или  гильза индивидуальная составная; из литьевого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lastRenderedPageBreak/>
              <w:t xml:space="preserve">слоистого пластика на основе связующих смол, или  листового термопласта; крепление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должно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индивидуальное, подгоночное, специальное. Протез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 xml:space="preserve">должен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bidi="ru-RU"/>
              </w:rPr>
              <w:t>укомплектован двумя чехлами на культю.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EE0F0C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203450,00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203450,00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3F6356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3F6356"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Протез 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предплечья </w:t>
            </w:r>
            <w:r w:rsidRPr="003F6356">
              <w:rPr>
                <w:rFonts w:ascii="Times New Roman CYR" w:hAnsi="Times New Roman CYR" w:cs="Times New Roman CYR"/>
                <w:color w:val="000000"/>
                <w:sz w:val="20"/>
              </w:rPr>
              <w:t>косметический</w:t>
            </w:r>
          </w:p>
          <w:p w:rsidR="00082064" w:rsidRPr="00CE09A8" w:rsidRDefault="00082064" w:rsidP="00461B8D">
            <w:pPr>
              <w:widowControl w:val="0"/>
              <w:autoSpaceDE w:val="0"/>
              <w:snapToGrid w:val="0"/>
              <w:spacing w:line="22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6"/>
              <w:spacing w:line="220" w:lineRule="atLeast"/>
              <w:jc w:val="both"/>
              <w:rPr>
                <w:rFonts w:ascii="Times New Roman" w:hAnsi="Times New Roman" w:cs="Times New Roman"/>
                <w:kern w:val="2"/>
                <w:sz w:val="20"/>
              </w:rPr>
            </w:pP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Протез предплечья косметический, взрослый; отсутствует управление сохранившейся рукой; кисть косметическая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>из ПВХ, или кисть косметическая силиконовая с несъемной формообразующей, арматурой в пальцах, адаптером в запястье (адаптер кистевой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 должен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 поставлят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>ь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ся в комплекте); локоть-предплечье отсутствует; функция ротации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реализована в составе модуля кисти, приспособления отсутствуют; оболочка косметическая отсутствует; гильза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индивидуальная одинарная из литьевого слоистого пластика на основе связующих смол; крепление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должно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индивидуальное, подгоночное, специальное. Протез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 xml:space="preserve">должен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>укомплектован двумя чехлами на культю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E26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83920,00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167840,00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E414E9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8E34B3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предплечья рабочий</w:t>
            </w:r>
          </w:p>
          <w:p w:rsidR="00082064" w:rsidRPr="003F6356" w:rsidRDefault="00082064" w:rsidP="00461B8D">
            <w:pPr>
              <w:spacing w:line="220" w:lineRule="atLeast"/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0E3D37">
              <w:rPr>
                <w:rFonts w:ascii="Times New Roman" w:hAnsi="Times New Roman" w:cs="Times New Roman"/>
                <w:sz w:val="20"/>
              </w:rPr>
              <w:t>Протез предпле</w:t>
            </w:r>
            <w:r>
              <w:rPr>
                <w:rFonts w:ascii="Times New Roman" w:hAnsi="Times New Roman" w:cs="Times New Roman"/>
                <w:sz w:val="20"/>
              </w:rPr>
              <w:t>чья рабочий;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гильза </w:t>
            </w:r>
            <w:r>
              <w:rPr>
                <w:rFonts w:ascii="Times New Roman" w:hAnsi="Times New Roman" w:cs="Times New Roman"/>
                <w:sz w:val="20"/>
              </w:rPr>
              <w:t>должна быть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0"/>
              </w:rPr>
              <w:t>ая по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слепку с культи инвалида, из кожи или слоистого пласти</w:t>
            </w:r>
            <w:r>
              <w:rPr>
                <w:rFonts w:ascii="Times New Roman" w:hAnsi="Times New Roman" w:cs="Times New Roman"/>
                <w:sz w:val="20"/>
              </w:rPr>
              <w:t>ка, из термопластов.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Должны быть: </w:t>
            </w:r>
            <w:r w:rsidRPr="000E3D37">
              <w:rPr>
                <w:rFonts w:ascii="Times New Roman" w:hAnsi="Times New Roman" w:cs="Times New Roman"/>
                <w:sz w:val="20"/>
              </w:rPr>
              <w:t>металлические шины, приемник для насадок, набор рабочих насад</w:t>
            </w:r>
            <w:r>
              <w:rPr>
                <w:rFonts w:ascii="Times New Roman" w:hAnsi="Times New Roman" w:cs="Times New Roman"/>
                <w:sz w:val="20"/>
              </w:rPr>
              <w:t>ок, вкладной чехол или без него.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3D37">
              <w:rPr>
                <w:rFonts w:ascii="Times New Roman" w:hAnsi="Times New Roman" w:cs="Times New Roman"/>
                <w:sz w:val="20"/>
              </w:rPr>
              <w:t>репление</w:t>
            </w:r>
            <w:r>
              <w:rPr>
                <w:rFonts w:ascii="Times New Roman" w:hAnsi="Times New Roman" w:cs="Times New Roman"/>
                <w:sz w:val="20"/>
              </w:rPr>
              <w:t xml:space="preserve"> должно быть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индивидуальное, круговыми ремешками, застежкой контактной «</w:t>
            </w:r>
            <w:proofErr w:type="spellStart"/>
            <w:r w:rsidRPr="000E3D37">
              <w:rPr>
                <w:rFonts w:ascii="Times New Roman" w:hAnsi="Times New Roman" w:cs="Times New Roman"/>
                <w:sz w:val="20"/>
              </w:rPr>
              <w:t>велькро</w:t>
            </w:r>
            <w:proofErr w:type="spellEnd"/>
            <w:r w:rsidRPr="000E3D37">
              <w:rPr>
                <w:rFonts w:ascii="Times New Roman" w:hAnsi="Times New Roman" w:cs="Times New Roman"/>
                <w:sz w:val="20"/>
              </w:rPr>
              <w:t xml:space="preserve">» или кожаной манжеткой на плечо, со съемной хлорвиниловой кистью или без нее. </w:t>
            </w:r>
          </w:p>
          <w:p w:rsidR="00082064" w:rsidRPr="000E3D37" w:rsidRDefault="00082064" w:rsidP="00461B8D">
            <w:pPr>
              <w:pStyle w:val="a6"/>
              <w:spacing w:line="22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</w:pPr>
            <w:r w:rsidRPr="000E3D37">
              <w:rPr>
                <w:rFonts w:ascii="Times New Roman" w:hAnsi="Times New Roman" w:cs="Times New Roman"/>
                <w:sz w:val="20"/>
              </w:rPr>
              <w:t xml:space="preserve">Протез </w:t>
            </w:r>
            <w:r>
              <w:rPr>
                <w:rFonts w:ascii="Times New Roman" w:hAnsi="Times New Roman" w:cs="Times New Roman"/>
                <w:sz w:val="20"/>
              </w:rPr>
              <w:t xml:space="preserve">должен быть </w:t>
            </w:r>
            <w:r w:rsidRPr="000E3D37">
              <w:rPr>
                <w:rFonts w:ascii="Times New Roman" w:hAnsi="Times New Roman" w:cs="Times New Roman"/>
                <w:sz w:val="20"/>
              </w:rPr>
              <w:t>укомплектован двумя чехлами на культю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E26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62625,00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62625,00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E414E9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8E34B3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предплечья активный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(тяговый)</w:t>
            </w:r>
          </w:p>
          <w:p w:rsidR="00082064" w:rsidRPr="003F6356" w:rsidRDefault="00082064" w:rsidP="00461B8D">
            <w:pPr>
              <w:spacing w:line="220" w:lineRule="atLeast"/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6"/>
              <w:spacing w:line="22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</w:pP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>Протез пр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>едплечья активный,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взрослый; система управления 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механическая (тяговая); кисть 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с гибкой тягой; корпусная с пружинным </w:t>
            </w:r>
            <w:proofErr w:type="spellStart"/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>схватом</w:t>
            </w:r>
            <w:proofErr w:type="spellEnd"/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и пассивным узлом ротации; локоть-предплечье отсутствует; функция ротации 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>реализована в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составе модуля кисти; оболочка 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>косметическая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должна быть из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ПВХ/пластизоль без покрытия или оболочка косметическая ПВХ/пластизоль с покрытием или оболочка косметическая силиконовая; приемная гильза 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из литьевого слоистого пластика на основе связующих смол; 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должна </w:t>
            </w:r>
            <w:r w:rsidRPr="00EE0F0C">
              <w:rPr>
                <w:rFonts w:ascii="Times New Roman" w:eastAsia="Calibri" w:hAnsi="Times New Roman" w:cs="Times New Roman"/>
                <w:kern w:val="2"/>
                <w:sz w:val="20"/>
              </w:rPr>
              <w:t>быть одна пробная гильза; крепление должно быть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>индивидуальное или подгоночное, или специальное. Протез</w:t>
            </w:r>
            <w:r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должен быть</w:t>
            </w:r>
            <w:r w:rsidRPr="000E3D37">
              <w:rPr>
                <w:rFonts w:ascii="Times New Roman" w:eastAsia="Calibri" w:hAnsi="Times New Roman" w:cs="Times New Roman"/>
                <w:kern w:val="2"/>
                <w:sz w:val="20"/>
              </w:rPr>
              <w:t xml:space="preserve"> укомплектован двумя чехлами на культю.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54289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122200,00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E414E9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8E34B3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предплечья активный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(тяговый)</w:t>
            </w:r>
          </w:p>
          <w:p w:rsidR="00082064" w:rsidRPr="003F6356" w:rsidRDefault="00082064" w:rsidP="00461B8D">
            <w:pPr>
              <w:spacing w:line="220" w:lineRule="atLeast"/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6"/>
              <w:spacing w:line="22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</w:rPr>
              <w:t>Протез предплечья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активный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>,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взрослый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>; с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>истема управления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должна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механическая, сохранившейся рукой или </w:t>
            </w:r>
            <w:proofErr w:type="spellStart"/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>противоупором</w:t>
            </w:r>
            <w:proofErr w:type="spellEnd"/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; кисть 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функционально-косметическая каркасная с фиксацией блока IV–V пальцев; локоть-предплечье отсутствует; дополнительное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 xml:space="preserve">РСУ отсутствует, функция ротации 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должна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реализована в составе модуля кисти, ротатор кистевой 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должен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с адаптером, для присоединения рабочих насадок, с цилиндрическим хвостовиком </w:t>
            </w:r>
            <w:r w:rsidRPr="00EE0F0C">
              <w:rPr>
                <w:rFonts w:ascii="Times New Roman" w:eastAsia="Calibri" w:hAnsi="Times New Roman" w:cs="Times New Roman"/>
                <w:kern w:val="1"/>
                <w:sz w:val="20"/>
              </w:rPr>
              <w:t>диаметром не менее 10 мм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>; приспособления отсутствуют; оболочка косметическая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должна быть из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ПВХ/пластизоль без покрытия; гильза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должна быть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индивидуальная одинарная или  гильза индивидуальная составная; из литьевого слоистого пластика на основе связующих смол, или  листового термопласта; модуль при вычленении плеча отсутствует; крепление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должно быть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 индивидуальное, подгоночное, специальное. Протез </w:t>
            </w:r>
            <w:r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должен быть </w:t>
            </w:r>
            <w:r w:rsidRPr="000E3D37">
              <w:rPr>
                <w:rFonts w:ascii="Times New Roman" w:eastAsia="Calibri" w:hAnsi="Times New Roman" w:cs="Times New Roman"/>
                <w:kern w:val="1"/>
                <w:sz w:val="20"/>
              </w:rPr>
              <w:t>укомплектован двумя чехлами на культю.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54289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148030,00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296060,00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E414E9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lastRenderedPageBreak/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8E34B3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плеча активный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 xml:space="preserve"> (тяговый)</w:t>
            </w:r>
          </w:p>
          <w:p w:rsidR="00082064" w:rsidRPr="008E34B3" w:rsidRDefault="00082064" w:rsidP="00461B8D">
            <w:pPr>
              <w:spacing w:line="220" w:lineRule="atLeast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  <w:p w:rsidR="00082064" w:rsidRPr="008E34B3" w:rsidRDefault="00082064" w:rsidP="00461B8D">
            <w:pPr>
              <w:spacing w:line="220" w:lineRule="atLeast"/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  <w:p w:rsidR="00082064" w:rsidRPr="003F6356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6"/>
              <w:spacing w:line="22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Протез плеча активный,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 взрос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лый; с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истема 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должна быть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 механическая (тяговая) с дополнительной фурнитурой; кисть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должна быть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с гибкой тягой корпусная с пружинным </w:t>
            </w:r>
            <w:proofErr w:type="spellStart"/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схватом</w:t>
            </w:r>
            <w:proofErr w:type="spellEnd"/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, пассивной ротацией с бесступенчатой регулируемой </w:t>
            </w:r>
            <w:proofErr w:type="spellStart"/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тугоподвижностью</w:t>
            </w:r>
            <w:proofErr w:type="spellEnd"/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 и фиксацией блока IV – V пальцев или кисть функционально косметическая; локоть-предплечье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должен быть </w:t>
            </w:r>
            <w:proofErr w:type="spellStart"/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экзоскелетного</w:t>
            </w:r>
            <w:proofErr w:type="spellEnd"/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 типа активный со ступенчатой или бесступенчатой фиксацией с пассивной ротацией плеча; функция ротации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должна быть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реализована в составе модуля кисти; приспособления отсутствуют; оболочка косметическая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должна быть из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ПВХ/пластизоль без покрытия; гильза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должна быть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индивидуальная один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арная; из листового термопласта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 xml:space="preserve"> или литьевого слоистого пластика на основе связующих смол; модуль при вычленении плеча отсутствует; крепление индивидуальное. Протез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должен быть </w:t>
            </w:r>
            <w:r w:rsidRPr="000E3D37">
              <w:rPr>
                <w:rFonts w:ascii="Times New Roman" w:hAnsi="Times New Roman" w:cs="Times New Roman"/>
                <w:color w:val="000000"/>
                <w:sz w:val="20"/>
              </w:rPr>
              <w:t>укомплектован двумя чехлами на культю.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54289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75455,00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150910,00</w:t>
            </w:r>
          </w:p>
        </w:tc>
      </w:tr>
      <w:tr w:rsidR="00241EBB" w:rsidRPr="000E3D37" w:rsidTr="00DB4D8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Default="00082064" w:rsidP="00461B8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8E34B3">
              <w:rPr>
                <w:rFonts w:ascii="Times New Roman CYR" w:hAnsi="Times New Roman CYR" w:cs="Times New Roman CYR"/>
                <w:color w:val="000000"/>
                <w:sz w:val="20"/>
              </w:rPr>
              <w:t>Протез плеча косметический</w:t>
            </w:r>
          </w:p>
          <w:p w:rsidR="00082064" w:rsidRPr="008E34B3" w:rsidRDefault="00082064" w:rsidP="00461B8D">
            <w:pPr>
              <w:rPr>
                <w:rFonts w:ascii="Times New Roman CYR" w:hAnsi="Times New Roman CYR" w:cs="Times New Roman CYR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6"/>
              <w:spacing w:line="22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Протез плеча косметический;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исть косметическая </w:t>
            </w:r>
            <w:r>
              <w:rPr>
                <w:rFonts w:ascii="Times New Roman" w:hAnsi="Times New Roman" w:cs="Times New Roman"/>
                <w:sz w:val="20"/>
              </w:rPr>
              <w:t>должна быть из ПВХ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или кисть косметическая силиконовая с несъемной формообразующей арматурой в пальцах, адаптером в запястье (адаптер кистевой </w:t>
            </w:r>
            <w:r>
              <w:rPr>
                <w:rFonts w:ascii="Times New Roman" w:hAnsi="Times New Roman" w:cs="Times New Roman"/>
                <w:sz w:val="20"/>
              </w:rPr>
              <w:t xml:space="preserve">должен </w:t>
            </w:r>
            <w:r w:rsidRPr="000E3D37">
              <w:rPr>
                <w:rFonts w:ascii="Times New Roman" w:hAnsi="Times New Roman" w:cs="Times New Roman"/>
                <w:sz w:val="20"/>
              </w:rPr>
              <w:t>поставлят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ся в комплекте); локоть-предплечье </w:t>
            </w:r>
            <w:r>
              <w:rPr>
                <w:rFonts w:ascii="Times New Roman" w:hAnsi="Times New Roman" w:cs="Times New Roman"/>
                <w:sz w:val="20"/>
              </w:rPr>
              <w:t xml:space="preserve">должен быть </w:t>
            </w:r>
            <w:proofErr w:type="spellStart"/>
            <w:r w:rsidRPr="000E3D37">
              <w:rPr>
                <w:rFonts w:ascii="Times New Roman" w:hAnsi="Times New Roman" w:cs="Times New Roman"/>
                <w:sz w:val="20"/>
              </w:rPr>
              <w:t>эндоскелетного</w:t>
            </w:r>
            <w:proofErr w:type="spellEnd"/>
            <w:r w:rsidRPr="000E3D37">
              <w:rPr>
                <w:rFonts w:ascii="Times New Roman" w:hAnsi="Times New Roman" w:cs="Times New Roman"/>
                <w:sz w:val="20"/>
              </w:rPr>
              <w:t xml:space="preserve"> типа пассивный с бесступенчатой фиксацией с пассивной ротацией плеча/предплечья; дополнительное РСУ отсутствует, функция ротации </w:t>
            </w:r>
            <w:r>
              <w:rPr>
                <w:rFonts w:ascii="Times New Roman" w:hAnsi="Times New Roman" w:cs="Times New Roman"/>
                <w:sz w:val="20"/>
              </w:rPr>
              <w:t xml:space="preserve">должна быть </w:t>
            </w:r>
            <w:r w:rsidRPr="000E3D37">
              <w:rPr>
                <w:rFonts w:ascii="Times New Roman" w:hAnsi="Times New Roman" w:cs="Times New Roman"/>
                <w:sz w:val="20"/>
              </w:rPr>
              <w:t>реализована в составе модуля кисти, приспособления отсутствуют; оболочка косметическая отсутствует; гильза</w:t>
            </w:r>
            <w:r>
              <w:rPr>
                <w:rFonts w:ascii="Times New Roman" w:hAnsi="Times New Roman" w:cs="Times New Roman"/>
                <w:sz w:val="20"/>
              </w:rPr>
              <w:t xml:space="preserve"> должна быть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 индивидуальная одинарная или гильза индивидуальная составная; из литьевого слоистого пластика на основе связующих смол, из листового термопласта; модуль при вычленении плеча отсутствует; крепление </w:t>
            </w:r>
            <w:r>
              <w:rPr>
                <w:rFonts w:ascii="Times New Roman" w:hAnsi="Times New Roman" w:cs="Times New Roman"/>
                <w:sz w:val="20"/>
              </w:rPr>
              <w:t xml:space="preserve">должно быть </w:t>
            </w:r>
            <w:r w:rsidRPr="000E3D37">
              <w:rPr>
                <w:rFonts w:ascii="Times New Roman" w:hAnsi="Times New Roman" w:cs="Times New Roman"/>
                <w:sz w:val="20"/>
              </w:rPr>
              <w:t xml:space="preserve">подгоночное, индивидуальное. Протез </w:t>
            </w:r>
            <w:r>
              <w:rPr>
                <w:rFonts w:ascii="Times New Roman" w:hAnsi="Times New Roman" w:cs="Times New Roman"/>
                <w:sz w:val="20"/>
              </w:rPr>
              <w:t xml:space="preserve">должен быть </w:t>
            </w:r>
            <w:r w:rsidRPr="000E3D37">
              <w:rPr>
                <w:rFonts w:ascii="Times New Roman" w:hAnsi="Times New Roman" w:cs="Times New Roman"/>
                <w:sz w:val="20"/>
              </w:rPr>
              <w:t>укомплектован двумя чехлами на культю.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82064" w:rsidRPr="00854289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81070,00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2064" w:rsidRPr="000E3D37" w:rsidRDefault="00082064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3D3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2064" w:rsidRPr="000E3D37" w:rsidRDefault="00241EBB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81070,00</w:t>
            </w:r>
          </w:p>
        </w:tc>
      </w:tr>
      <w:tr w:rsidR="00DB4D8A" w:rsidRPr="000E3D37" w:rsidTr="00DB4D8A">
        <w:trPr>
          <w:trHeight w:val="281"/>
        </w:trPr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D8A" w:rsidRPr="000E3D37" w:rsidRDefault="00DB4D8A" w:rsidP="00461B8D">
            <w:pPr>
              <w:pStyle w:val="a6"/>
              <w:spacing w:line="22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DB4D8A" w:rsidRDefault="00DB4D8A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4D8A" w:rsidRPr="000E3D37" w:rsidRDefault="00DB4D8A" w:rsidP="00461B8D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D8A" w:rsidRPr="000E3D37" w:rsidRDefault="00DB4D8A" w:rsidP="00DB4D8A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D8A" w:rsidRPr="000E3D37" w:rsidRDefault="00DB4D8A" w:rsidP="00DB4D8A">
            <w:pPr>
              <w:pStyle w:val="a8"/>
              <w:snapToGri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1279455,00</w:t>
            </w:r>
          </w:p>
        </w:tc>
      </w:tr>
    </w:tbl>
    <w:p w:rsidR="008E2E74" w:rsidRDefault="008E2E74" w:rsidP="00003B65">
      <w:pPr>
        <w:spacing w:line="240" w:lineRule="auto"/>
        <w:contextualSpacing/>
        <w:jc w:val="both"/>
      </w:pPr>
    </w:p>
    <w:sectPr w:rsidR="008E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0940"/>
    <w:multiLevelType w:val="multilevel"/>
    <w:tmpl w:val="11E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58"/>
    </w:lvlOverride>
  </w:num>
  <w:num w:numId="3">
    <w:abstractNumId w:val="0"/>
    <w:lvlOverride w:ilvl="1">
      <w:startOverride w:val="59"/>
    </w:lvlOverride>
  </w:num>
  <w:num w:numId="4">
    <w:abstractNumId w:val="0"/>
    <w:lvlOverride w:ilvl="1">
      <w:startOverride w:val="61"/>
    </w:lvlOverride>
  </w:num>
  <w:num w:numId="5">
    <w:abstractNumId w:val="0"/>
    <w:lvlOverride w:ilvl="1">
      <w:startOverride w:val="62"/>
    </w:lvlOverride>
  </w:num>
  <w:num w:numId="6">
    <w:abstractNumId w:val="0"/>
    <w:lvlOverride w:ilvl="1">
      <w:startOverride w:val="63"/>
    </w:lvlOverride>
  </w:num>
  <w:num w:numId="7">
    <w:abstractNumId w:val="0"/>
    <w:lvlOverride w:ilvl="1">
      <w:startOverride w:val="64"/>
    </w:lvlOverride>
  </w:num>
  <w:num w:numId="8">
    <w:abstractNumId w:val="0"/>
    <w:lvlOverride w:ilvl="1">
      <w:startOverride w:val="65"/>
    </w:lvlOverride>
  </w:num>
  <w:num w:numId="9">
    <w:abstractNumId w:val="0"/>
    <w:lvlOverride w:ilvl="1">
      <w:startOverride w:val="66"/>
    </w:lvlOverride>
  </w:num>
  <w:num w:numId="10">
    <w:abstractNumId w:val="0"/>
    <w:lvlOverride w:ilvl="1">
      <w:startOverride w:val="67"/>
    </w:lvlOverride>
  </w:num>
  <w:num w:numId="11">
    <w:abstractNumId w:val="0"/>
    <w:lvlOverride w:ilvl="1">
      <w:startOverride w:val="68"/>
    </w:lvlOverride>
  </w:num>
  <w:num w:numId="12">
    <w:abstractNumId w:val="0"/>
    <w:lvlOverride w:ilvl="1">
      <w:startOverride w:val="69"/>
    </w:lvlOverride>
  </w:num>
  <w:num w:numId="13">
    <w:abstractNumId w:val="0"/>
    <w:lvlOverride w:ilvl="1">
      <w:startOverride w:val="70"/>
    </w:lvlOverride>
  </w:num>
  <w:num w:numId="14">
    <w:abstractNumId w:val="0"/>
    <w:lvlOverride w:ilvl="1">
      <w:startOverride w:val="71"/>
    </w:lvlOverride>
  </w:num>
  <w:num w:numId="15">
    <w:abstractNumId w:val="0"/>
    <w:lvlOverride w:ilvl="1">
      <w:startOverride w:val="73"/>
    </w:lvlOverride>
  </w:num>
  <w:num w:numId="16">
    <w:abstractNumId w:val="0"/>
    <w:lvlOverride w:ilvl="1">
      <w:startOverride w:val="74"/>
    </w:lvlOverride>
  </w:num>
  <w:num w:numId="17">
    <w:abstractNumId w:val="0"/>
    <w:lvlOverride w:ilvl="1">
      <w:startOverride w:val="75"/>
    </w:lvlOverride>
  </w:num>
  <w:num w:numId="18">
    <w:abstractNumId w:val="0"/>
    <w:lvlOverride w:ilvl="1">
      <w:startOverride w:val="76"/>
    </w:lvlOverride>
  </w:num>
  <w:num w:numId="19">
    <w:abstractNumId w:val="0"/>
    <w:lvlOverride w:ilvl="1">
      <w:startOverride w:val="77"/>
    </w:lvlOverride>
  </w:num>
  <w:num w:numId="20">
    <w:abstractNumId w:val="0"/>
    <w:lvlOverride w:ilvl="1">
      <w:startOverride w:val="78"/>
    </w:lvlOverride>
  </w:num>
  <w:num w:numId="21">
    <w:abstractNumId w:val="0"/>
    <w:lvlOverride w:ilvl="1">
      <w:startOverride w:val="79"/>
    </w:lvlOverride>
  </w:num>
  <w:num w:numId="22">
    <w:abstractNumId w:val="0"/>
    <w:lvlOverride w:ilvl="1">
      <w:startOverride w:val="81"/>
    </w:lvlOverride>
  </w:num>
  <w:num w:numId="23">
    <w:abstractNumId w:val="0"/>
    <w:lvlOverride w:ilvl="1">
      <w:startOverride w:val="82"/>
    </w:lvlOverride>
  </w:num>
  <w:num w:numId="24">
    <w:abstractNumId w:val="0"/>
    <w:lvlOverride w:ilvl="1">
      <w:startOverride w:val="83"/>
    </w:lvlOverride>
  </w:num>
  <w:num w:numId="25">
    <w:abstractNumId w:val="0"/>
    <w:lvlOverride w:ilvl="1">
      <w:startOverride w:val="84"/>
    </w:lvlOverride>
  </w:num>
  <w:num w:numId="26">
    <w:abstractNumId w:val="0"/>
    <w:lvlOverride w:ilvl="1">
      <w:startOverride w:val="85"/>
    </w:lvlOverride>
  </w:num>
  <w:num w:numId="27">
    <w:abstractNumId w:val="0"/>
    <w:lvlOverride w:ilvl="1">
      <w:startOverride w:val="86"/>
    </w:lvlOverride>
  </w:num>
  <w:num w:numId="28">
    <w:abstractNumId w:val="0"/>
    <w:lvlOverride w:ilvl="1">
      <w:startOverride w:val="87"/>
    </w:lvlOverride>
  </w:num>
  <w:num w:numId="29">
    <w:abstractNumId w:val="0"/>
    <w:lvlOverride w:ilvl="1">
      <w:startOverride w:val="88"/>
    </w:lvlOverride>
  </w:num>
  <w:num w:numId="30">
    <w:abstractNumId w:val="0"/>
    <w:lvlOverride w:ilvl="1">
      <w:startOverride w:val="89"/>
    </w:lvlOverride>
  </w:num>
  <w:num w:numId="31">
    <w:abstractNumId w:val="0"/>
    <w:lvlOverride w:ilvl="1">
      <w:startOverride w:val="90"/>
    </w:lvlOverride>
  </w:num>
  <w:num w:numId="32">
    <w:abstractNumId w:val="0"/>
    <w:lvlOverride w:ilvl="1">
      <w:startOverride w:val="91"/>
    </w:lvlOverride>
  </w:num>
  <w:num w:numId="33">
    <w:abstractNumId w:val="0"/>
    <w:lvlOverride w:ilvl="1">
      <w:startOverride w:val="92"/>
    </w:lvlOverride>
  </w:num>
  <w:num w:numId="34">
    <w:abstractNumId w:val="0"/>
    <w:lvlOverride w:ilvl="1">
      <w:startOverride w:val="93"/>
    </w:lvlOverride>
  </w:num>
  <w:num w:numId="35">
    <w:abstractNumId w:val="0"/>
    <w:lvlOverride w:ilvl="1">
      <w:startOverride w:val="94"/>
    </w:lvlOverride>
  </w:num>
  <w:num w:numId="36">
    <w:abstractNumId w:val="0"/>
    <w:lvlOverride w:ilvl="1">
      <w:startOverride w:val="95"/>
    </w:lvlOverride>
  </w:num>
  <w:num w:numId="37">
    <w:abstractNumId w:val="0"/>
    <w:lvlOverride w:ilvl="1">
      <w:startOverride w:val="96"/>
    </w:lvlOverride>
  </w:num>
  <w:num w:numId="38">
    <w:abstractNumId w:val="0"/>
    <w:lvlOverride w:ilvl="1">
      <w:startOverride w:val="97"/>
    </w:lvlOverride>
  </w:num>
  <w:num w:numId="39">
    <w:abstractNumId w:val="0"/>
    <w:lvlOverride w:ilvl="1">
      <w:startOverride w:val="98"/>
    </w:lvlOverride>
  </w:num>
  <w:num w:numId="40">
    <w:abstractNumId w:val="0"/>
    <w:lvlOverride w:ilvl="1">
      <w:startOverride w:val="99"/>
    </w:lvlOverride>
  </w:num>
  <w:num w:numId="41">
    <w:abstractNumId w:val="0"/>
    <w:lvlOverride w:ilvl="1">
      <w:startOverride w:val="100"/>
    </w:lvlOverride>
  </w:num>
  <w:num w:numId="42">
    <w:abstractNumId w:val="0"/>
    <w:lvlOverride w:ilvl="1">
      <w:startOverride w:val="101"/>
    </w:lvlOverride>
  </w:num>
  <w:num w:numId="43">
    <w:abstractNumId w:val="0"/>
    <w:lvlOverride w:ilvl="1">
      <w:startOverride w:val="102"/>
    </w:lvlOverride>
  </w:num>
  <w:num w:numId="44">
    <w:abstractNumId w:val="0"/>
    <w:lvlOverride w:ilvl="1">
      <w:startOverride w:val="103"/>
    </w:lvlOverride>
  </w:num>
  <w:num w:numId="45">
    <w:abstractNumId w:val="0"/>
    <w:lvlOverride w:ilvl="1">
      <w:startOverride w:val="104"/>
    </w:lvlOverride>
  </w:num>
  <w:num w:numId="46">
    <w:abstractNumId w:val="0"/>
    <w:lvlOverride w:ilvl="1">
      <w:startOverride w:val="10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E"/>
    <w:rsid w:val="00003B65"/>
    <w:rsid w:val="00006056"/>
    <w:rsid w:val="00082064"/>
    <w:rsid w:val="001435E2"/>
    <w:rsid w:val="0018679E"/>
    <w:rsid w:val="001A620A"/>
    <w:rsid w:val="001C3DBA"/>
    <w:rsid w:val="001E51E0"/>
    <w:rsid w:val="002133EF"/>
    <w:rsid w:val="00241EBB"/>
    <w:rsid w:val="002540FC"/>
    <w:rsid w:val="00283517"/>
    <w:rsid w:val="003245D2"/>
    <w:rsid w:val="003B7198"/>
    <w:rsid w:val="004724CB"/>
    <w:rsid w:val="004839E8"/>
    <w:rsid w:val="004A7195"/>
    <w:rsid w:val="00505245"/>
    <w:rsid w:val="00621F4C"/>
    <w:rsid w:val="006C1F64"/>
    <w:rsid w:val="006D4D6E"/>
    <w:rsid w:val="007129E6"/>
    <w:rsid w:val="00734A33"/>
    <w:rsid w:val="0074658B"/>
    <w:rsid w:val="008876E6"/>
    <w:rsid w:val="008C0DFE"/>
    <w:rsid w:val="008E2E74"/>
    <w:rsid w:val="009A3DFE"/>
    <w:rsid w:val="00A20ADA"/>
    <w:rsid w:val="00AB075F"/>
    <w:rsid w:val="00BA4C64"/>
    <w:rsid w:val="00C4242A"/>
    <w:rsid w:val="00CA7CD8"/>
    <w:rsid w:val="00DB4D8A"/>
    <w:rsid w:val="00F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42D5-0659-444C-A551-AE227ED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4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3517"/>
    <w:rPr>
      <w:color w:val="000080"/>
      <w:u w:val="single"/>
    </w:rPr>
  </w:style>
  <w:style w:type="paragraph" w:styleId="a6">
    <w:name w:val="Body Text"/>
    <w:basedOn w:val="a"/>
    <w:link w:val="a7"/>
    <w:rsid w:val="00283517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83517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8">
    <w:name w:val="Содержимое таблицы"/>
    <w:basedOn w:val="a"/>
    <w:rsid w:val="00283517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A9A7-1A8C-45C9-A34A-42FC9E08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Мустафина Ильсия Рафаильевна</cp:lastModifiedBy>
  <cp:revision>14</cp:revision>
  <cp:lastPrinted>2019-05-30T05:55:00Z</cp:lastPrinted>
  <dcterms:created xsi:type="dcterms:W3CDTF">2018-02-19T07:54:00Z</dcterms:created>
  <dcterms:modified xsi:type="dcterms:W3CDTF">2019-05-30T05:58:00Z</dcterms:modified>
</cp:coreProperties>
</file>