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90" w:rsidRDefault="00254090">
      <w:pPr>
        <w:pStyle w:val="a3"/>
        <w:ind w:left="0"/>
        <w:jc w:val="right"/>
      </w:pPr>
    </w:p>
    <w:p w:rsidR="00EB5177" w:rsidRPr="000E0296" w:rsidRDefault="00EB5177" w:rsidP="00C12E83">
      <w:pPr>
        <w:pStyle w:val="3"/>
        <w:widowControl w:val="0"/>
      </w:pPr>
      <w:r w:rsidRPr="000E0296">
        <w:t>Техническое задание</w:t>
      </w:r>
    </w:p>
    <w:p w:rsidR="003D4B02" w:rsidRPr="000E0296" w:rsidRDefault="00551C7C" w:rsidP="00C12E83">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C12E83">
      <w:pPr>
        <w:pStyle w:val="a3"/>
        <w:keepNext/>
        <w:tabs>
          <w:tab w:val="left" w:pos="8780"/>
        </w:tabs>
        <w:ind w:left="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3607E6">
        <w:rPr>
          <w:bCs/>
        </w:rPr>
        <w:t>В</w:t>
      </w:r>
      <w:r w:rsidR="003607E6" w:rsidRPr="0050110B">
        <w:rPr>
          <w:bCs/>
        </w:rPr>
        <w:t>ыполнение работ</w:t>
      </w:r>
      <w:r w:rsidR="003607E6">
        <w:rPr>
          <w:b/>
          <w:bCs/>
        </w:rPr>
        <w:t xml:space="preserve"> </w:t>
      </w:r>
      <w:r w:rsidR="003607E6">
        <w:rPr>
          <w:rFonts w:eastAsia="Arial Unicode MS"/>
          <w:bCs/>
          <w:szCs w:val="20"/>
        </w:rPr>
        <w:t xml:space="preserve">по изготовлению </w:t>
      </w:r>
      <w:r w:rsidR="003607E6" w:rsidRPr="002C6407">
        <w:t>протез</w:t>
      </w:r>
      <w:r w:rsidR="003607E6">
        <w:t>ов</w:t>
      </w:r>
      <w:r w:rsidR="003607E6" w:rsidRPr="002C6407">
        <w:t xml:space="preserve"> </w:t>
      </w:r>
      <w:r w:rsidR="00C72C55">
        <w:t>верхних</w:t>
      </w:r>
      <w:r w:rsidR="003607E6">
        <w:t xml:space="preserve"> </w:t>
      </w:r>
      <w:r w:rsidR="003607E6" w:rsidRPr="002C6407">
        <w:t>конечност</w:t>
      </w:r>
      <w:r w:rsidR="003607E6">
        <w:t>ей</w:t>
      </w:r>
      <w:r w:rsidR="003607E6">
        <w:rPr>
          <w:bCs/>
          <w:szCs w:val="28"/>
        </w:rPr>
        <w:t xml:space="preserve"> </w:t>
      </w:r>
      <w:r w:rsidR="003607E6">
        <w:t>для застрахованных лиц, пострадавших вследствие несчастных случаев на производстве и профессиональных заболеваний</w:t>
      </w:r>
      <w:r w:rsidR="009C63F8">
        <w:t>.</w:t>
      </w:r>
    </w:p>
    <w:p w:rsidR="00EB5177" w:rsidRPr="000E0296" w:rsidRDefault="00551C7C" w:rsidP="00C12E83">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BA0437">
        <w:t>3</w:t>
      </w:r>
      <w:r w:rsidR="00F21818">
        <w:t xml:space="preserve"> </w:t>
      </w:r>
      <w:r w:rsidR="002E5E84">
        <w:t>штук</w:t>
      </w:r>
      <w:r w:rsidR="003270D1">
        <w:t>и</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C12E83">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w:t>
      </w:r>
      <w:r w:rsidR="00992573">
        <w:rPr>
          <w:rFonts w:ascii="Times New Roman" w:hAnsi="Times New Roman" w:cs="Times New Roman"/>
          <w:bCs/>
          <w:sz w:val="24"/>
        </w:rPr>
        <w:t>д</w:t>
      </w:r>
      <w:r w:rsidR="00DC2CF0" w:rsidRPr="000E0296">
        <w:rPr>
          <w:rFonts w:ascii="Times New Roman" w:hAnsi="Times New Roman" w:cs="Times New Roman"/>
          <w:bCs/>
          <w:sz w:val="24"/>
        </w:rPr>
        <w:t>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836CD9">
        <w:rPr>
          <w:rFonts w:ascii="Times New Roman" w:hAnsi="Times New Roman" w:cs="Times New Roman"/>
          <w:bCs/>
          <w:sz w:val="24"/>
          <w:szCs w:val="24"/>
        </w:rPr>
        <w:t>9</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C12E83">
      <w:pPr>
        <w:keepNext/>
        <w:widowControl w:val="0"/>
        <w:jc w:val="both"/>
        <w:rPr>
          <w:bCs/>
          <w:sz w:val="2"/>
          <w:szCs w:val="2"/>
        </w:rPr>
      </w:pPr>
      <w:r w:rsidRPr="000E0296">
        <w:rPr>
          <w:bCs/>
        </w:rPr>
        <w:t xml:space="preserve"> </w:t>
      </w:r>
    </w:p>
    <w:p w:rsidR="00551C7C" w:rsidRPr="000E0296" w:rsidRDefault="00551C7C" w:rsidP="00C12E83">
      <w:pPr>
        <w:pStyle w:val="ConsPlusNormal"/>
        <w:keepNext/>
        <w:ind w:firstLine="0"/>
        <w:jc w:val="both"/>
        <w:rPr>
          <w:rFonts w:ascii="Times New Roman" w:hAnsi="Times New Roman" w:cs="Times New Roman"/>
          <w:bCs/>
          <w:sz w:val="2"/>
          <w:szCs w:val="2"/>
        </w:rPr>
      </w:pPr>
    </w:p>
    <w:p w:rsidR="003F1547" w:rsidRPr="000E0296" w:rsidRDefault="003F1547" w:rsidP="00C12E83">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836CD9">
        <w:rPr>
          <w:bCs/>
          <w:szCs w:val="26"/>
        </w:rPr>
        <w:t>9</w:t>
      </w:r>
      <w:r w:rsidR="00DC2CF0" w:rsidRPr="000E0296">
        <w:rPr>
          <w:bCs/>
          <w:szCs w:val="26"/>
        </w:rPr>
        <w:t xml:space="preserve"> года.</w:t>
      </w:r>
    </w:p>
    <w:p w:rsidR="00EB5177" w:rsidRPr="000E0296" w:rsidRDefault="003F1547" w:rsidP="00C12E83">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C12E83">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C12E83">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9F2BF1">
        <w:rPr>
          <w:rFonts w:ascii="Times New Roman" w:hAnsi="Times New Roman" w:cs="Times New Roman"/>
          <w:sz w:val="24"/>
          <w:szCs w:val="18"/>
        </w:rPr>
        <w:t xml:space="preserve">1 019 066 </w:t>
      </w:r>
      <w:r w:rsidRPr="000E0296">
        <w:rPr>
          <w:rFonts w:ascii="Times New Roman" w:hAnsi="Times New Roman" w:cs="Times New Roman"/>
          <w:sz w:val="24"/>
        </w:rPr>
        <w:t>руб</w:t>
      </w:r>
      <w:r w:rsidR="002E5E84">
        <w:rPr>
          <w:rFonts w:ascii="Times New Roman" w:hAnsi="Times New Roman" w:cs="Times New Roman"/>
          <w:sz w:val="24"/>
        </w:rPr>
        <w:t>.</w:t>
      </w:r>
      <w:r w:rsidR="009F2BF1">
        <w:rPr>
          <w:rFonts w:ascii="Times New Roman" w:hAnsi="Times New Roman" w:cs="Times New Roman"/>
          <w:sz w:val="24"/>
        </w:rPr>
        <w:t>67</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C12E83" w:rsidRPr="00707C54" w:rsidRDefault="00380817" w:rsidP="00C12E83">
      <w:pPr>
        <w:keepNext/>
        <w:jc w:val="both"/>
      </w:pPr>
      <w:r w:rsidRPr="000E0296">
        <w:rPr>
          <w:b/>
          <w:bCs/>
          <w:iCs/>
          <w:kern w:val="16"/>
        </w:rPr>
        <w:t xml:space="preserve">9. Порядок формирование цены Контракта: </w:t>
      </w:r>
      <w:proofErr w:type="gramStart"/>
      <w:r w:rsidR="00C12E83" w:rsidRPr="00707C54">
        <w:t>Цена контракта включает в себя все расходы Исполнителя на выполнить работы по изготовлению Изделий застрахованным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roofErr w:type="gramEnd"/>
      <w:r w:rsidR="00C12E83" w:rsidRPr="00707C54">
        <w:t>.</w:t>
      </w:r>
    </w:p>
    <w:p w:rsidR="00380817" w:rsidRDefault="00380817" w:rsidP="00C12E83">
      <w:pPr>
        <w:pStyle w:val="ConsPlusNormal"/>
        <w:keepNext/>
        <w:ind w:firstLine="0"/>
        <w:jc w:val="both"/>
        <w:rPr>
          <w:rFonts w:ascii="Times New Roman" w:hAnsi="Times New Roman" w:cs="Times New Roman"/>
          <w:sz w:val="24"/>
          <w:szCs w:val="24"/>
        </w:rPr>
      </w:pPr>
      <w:r w:rsidRPr="000E0296">
        <w:rPr>
          <w:rFonts w:ascii="Times New Roman" w:hAnsi="Times New Roman" w:cs="Times New Roman"/>
          <w:b/>
          <w:sz w:val="24"/>
          <w:szCs w:val="24"/>
        </w:rPr>
        <w:t>10.</w:t>
      </w:r>
      <w:r w:rsidRPr="000E0296">
        <w:rPr>
          <w:rFonts w:ascii="Times New Roman" w:hAnsi="Times New Roman" w:cs="Times New Roman"/>
          <w:sz w:val="24"/>
          <w:szCs w:val="24"/>
        </w:rPr>
        <w:t xml:space="preserve"> </w:t>
      </w:r>
      <w:r w:rsidRPr="000E0296">
        <w:rPr>
          <w:rFonts w:ascii="Times New Roman" w:hAnsi="Times New Roman" w:cs="Times New Roman"/>
          <w:b/>
          <w:sz w:val="24"/>
          <w:szCs w:val="24"/>
        </w:rPr>
        <w:t>Требование обеспечения исполнения контракта:</w:t>
      </w:r>
      <w:r w:rsidRPr="000E0296">
        <w:rPr>
          <w:rFonts w:ascii="Times New Roman" w:hAnsi="Times New Roman" w:cs="Times New Roman"/>
          <w:sz w:val="24"/>
          <w:szCs w:val="24"/>
        </w:rPr>
        <w:t xml:space="preserve"> размер обеспечения составляет </w:t>
      </w:r>
      <w:r w:rsidR="002044E6">
        <w:rPr>
          <w:rFonts w:ascii="Times New Roman" w:hAnsi="Times New Roman" w:cs="Times New Roman"/>
          <w:sz w:val="24"/>
          <w:szCs w:val="24"/>
        </w:rPr>
        <w:t>5</w:t>
      </w:r>
      <w:r w:rsidRPr="000E0296">
        <w:rPr>
          <w:rFonts w:ascii="Times New Roman" w:hAnsi="Times New Roman" w:cs="Times New Roman"/>
          <w:sz w:val="24"/>
          <w:szCs w:val="24"/>
        </w:rPr>
        <w:t xml:space="preserve">% от начальной (максимальной) цены контракты и составляет </w:t>
      </w:r>
      <w:r w:rsidR="009F2BF1">
        <w:rPr>
          <w:rFonts w:ascii="Times New Roman" w:hAnsi="Times New Roman" w:cs="Times New Roman"/>
          <w:sz w:val="24"/>
          <w:szCs w:val="24"/>
        </w:rPr>
        <w:t>50 953</w:t>
      </w:r>
      <w:r w:rsidR="003A69B4" w:rsidRPr="000E0296">
        <w:rPr>
          <w:rFonts w:ascii="Times New Roman" w:hAnsi="Times New Roman" w:cs="Times New Roman"/>
          <w:sz w:val="24"/>
          <w:szCs w:val="24"/>
        </w:rPr>
        <w:t xml:space="preserve"> </w:t>
      </w:r>
      <w:r w:rsidRPr="000E0296">
        <w:rPr>
          <w:rFonts w:ascii="Times New Roman" w:hAnsi="Times New Roman" w:cs="Times New Roman"/>
          <w:sz w:val="24"/>
          <w:szCs w:val="24"/>
        </w:rPr>
        <w:t>руб.</w:t>
      </w:r>
      <w:r w:rsidR="009F2BF1">
        <w:rPr>
          <w:rFonts w:ascii="Times New Roman" w:hAnsi="Times New Roman" w:cs="Times New Roman"/>
          <w:sz w:val="24"/>
          <w:szCs w:val="24"/>
        </w:rPr>
        <w:t>33</w:t>
      </w:r>
      <w:r w:rsidR="003270D1">
        <w:rPr>
          <w:rFonts w:ascii="Times New Roman" w:hAnsi="Times New Roman" w:cs="Times New Roman"/>
          <w:sz w:val="24"/>
          <w:szCs w:val="24"/>
        </w:rPr>
        <w:t xml:space="preserve"> коп.</w:t>
      </w:r>
    </w:p>
    <w:p w:rsidR="00E62F03" w:rsidRDefault="00E62F03" w:rsidP="00C12E83">
      <w:pPr>
        <w:keepNext/>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C12E83">
            <w:pPr>
              <w:keepNext/>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C12E83">
            <w:pPr>
              <w:pStyle w:val="2"/>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C12E83">
            <w:pPr>
              <w:keepNext/>
              <w:widowControl w:val="0"/>
              <w:jc w:val="center"/>
              <w:rPr>
                <w:b/>
                <w:bCs/>
                <w:sz w:val="16"/>
                <w:szCs w:val="22"/>
              </w:rPr>
            </w:pPr>
            <w:r>
              <w:rPr>
                <w:b/>
                <w:bCs/>
                <w:sz w:val="16"/>
                <w:szCs w:val="22"/>
              </w:rPr>
              <w:t>Начальная /максимальная Цена за ед. изделия</w:t>
            </w:r>
          </w:p>
          <w:p w:rsidR="00E62F03" w:rsidRDefault="00E62F03" w:rsidP="00C12E83">
            <w:pPr>
              <w:keepNext/>
              <w:widowControl w:val="0"/>
              <w:jc w:val="center"/>
              <w:rPr>
                <w:b/>
                <w:bCs/>
                <w:sz w:val="16"/>
                <w:szCs w:val="22"/>
              </w:rPr>
            </w:pPr>
            <w:r>
              <w:rPr>
                <w:b/>
                <w:bCs/>
                <w:sz w:val="16"/>
                <w:szCs w:val="22"/>
              </w:rPr>
              <w:t>(руб.)</w:t>
            </w:r>
          </w:p>
        </w:tc>
        <w:tc>
          <w:tcPr>
            <w:tcW w:w="770" w:type="dxa"/>
            <w:vAlign w:val="center"/>
          </w:tcPr>
          <w:p w:rsidR="00E62F03" w:rsidRDefault="00E62F03" w:rsidP="00BA0437">
            <w:pPr>
              <w:keepNext/>
              <w:widowControl w:val="0"/>
              <w:jc w:val="center"/>
              <w:rPr>
                <w:b/>
                <w:bCs/>
                <w:sz w:val="16"/>
                <w:szCs w:val="22"/>
              </w:rPr>
            </w:pPr>
            <w:r>
              <w:rPr>
                <w:b/>
                <w:bCs/>
                <w:sz w:val="16"/>
                <w:szCs w:val="22"/>
              </w:rPr>
              <w:t>Кол-во изделий (шт.)</w:t>
            </w:r>
          </w:p>
        </w:tc>
      </w:tr>
      <w:tr w:rsidR="00BA0437" w:rsidTr="00223157">
        <w:tblPrEx>
          <w:tblCellMar>
            <w:top w:w="0" w:type="dxa"/>
            <w:bottom w:w="0" w:type="dxa"/>
          </w:tblCellMar>
        </w:tblPrEx>
        <w:trPr>
          <w:trHeight w:val="326"/>
        </w:trPr>
        <w:tc>
          <w:tcPr>
            <w:tcW w:w="1598" w:type="dxa"/>
          </w:tcPr>
          <w:p w:rsidR="00BA0437" w:rsidRPr="00DE5AAE" w:rsidRDefault="00BA0437" w:rsidP="00BA0437">
            <w:pPr>
              <w:keepNext/>
              <w:widowControl w:val="0"/>
              <w:shd w:val="clear" w:color="auto" w:fill="FFFFFF"/>
              <w:tabs>
                <w:tab w:val="left" w:pos="0"/>
              </w:tabs>
              <w:autoSpaceDE w:val="0"/>
              <w:autoSpaceDN w:val="0"/>
              <w:adjustRightInd w:val="0"/>
              <w:ind w:left="72"/>
              <w:jc w:val="center"/>
              <w:rPr>
                <w:b/>
                <w:bCs/>
                <w:color w:val="000000"/>
                <w:sz w:val="22"/>
                <w:szCs w:val="22"/>
              </w:rPr>
            </w:pPr>
            <w:r w:rsidRPr="00DE5AAE">
              <w:rPr>
                <w:color w:val="000000"/>
                <w:sz w:val="22"/>
                <w:szCs w:val="22"/>
              </w:rPr>
              <w:t>Протез плеча</w:t>
            </w:r>
            <w:r w:rsidRPr="00DE5AAE">
              <w:rPr>
                <w:b/>
                <w:bCs/>
                <w:color w:val="000000"/>
                <w:sz w:val="22"/>
                <w:szCs w:val="22"/>
              </w:rPr>
              <w:t xml:space="preserve"> </w:t>
            </w:r>
          </w:p>
          <w:p w:rsidR="00BA0437" w:rsidRPr="00DE5AAE" w:rsidRDefault="00BA0437" w:rsidP="00BA0437">
            <w:pPr>
              <w:keepNext/>
              <w:widowControl w:val="0"/>
              <w:shd w:val="clear" w:color="auto" w:fill="FFFFFF"/>
              <w:tabs>
                <w:tab w:val="left" w:pos="0"/>
              </w:tabs>
              <w:autoSpaceDE w:val="0"/>
              <w:autoSpaceDN w:val="0"/>
              <w:adjustRightInd w:val="0"/>
              <w:ind w:left="72"/>
              <w:jc w:val="center"/>
              <w:rPr>
                <w:sz w:val="22"/>
                <w:szCs w:val="22"/>
              </w:rPr>
            </w:pPr>
          </w:p>
        </w:tc>
        <w:tc>
          <w:tcPr>
            <w:tcW w:w="7042" w:type="dxa"/>
          </w:tcPr>
          <w:p w:rsidR="00BA0437" w:rsidRPr="00DE5AAE" w:rsidRDefault="00BA0437" w:rsidP="00BA0437">
            <w:pPr>
              <w:keepNext/>
              <w:widowControl w:val="0"/>
              <w:jc w:val="both"/>
              <w:rPr>
                <w:sz w:val="22"/>
                <w:szCs w:val="22"/>
              </w:rPr>
            </w:pPr>
            <w:r w:rsidRPr="00DE5AAE">
              <w:rPr>
                <w:sz w:val="22"/>
                <w:szCs w:val="22"/>
              </w:rPr>
              <w:t>Протез плеча рабочий должен изготавливаться по индивидуальному слепку. Материал постоянной гильзы должен быть – литьевой слоистый пластик на основе акриловых смол. Допускается изготовление пробных гильз из термопласта. Пассивный локтевой шарнир должен быть с возможностью фиксации в различных положениях. Протез должен быть укомплектован рабочими насадками для обеспечения пациента необходимыми условиями жизнедеятельности в быту, в количестве не менее 13 штук.</w:t>
            </w:r>
            <w:r>
              <w:rPr>
                <w:sz w:val="22"/>
                <w:szCs w:val="22"/>
              </w:rPr>
              <w:t xml:space="preserve"> </w:t>
            </w:r>
            <w:r w:rsidRPr="00DE5AAE">
              <w:rPr>
                <w:sz w:val="22"/>
                <w:szCs w:val="22"/>
              </w:rPr>
              <w:t>Крепление должно быть за счет формы приемной гильзы с дополнительным креплением бандажом.</w:t>
            </w:r>
          </w:p>
        </w:tc>
        <w:tc>
          <w:tcPr>
            <w:tcW w:w="1179" w:type="dxa"/>
            <w:vAlign w:val="center"/>
          </w:tcPr>
          <w:p w:rsidR="00BA0437" w:rsidRPr="00BA0437" w:rsidRDefault="00BA0437" w:rsidP="00BA0437">
            <w:pPr>
              <w:keepNext/>
              <w:widowControl w:val="0"/>
              <w:ind w:left="-63" w:right="-108"/>
              <w:jc w:val="center"/>
              <w:rPr>
                <w:bCs/>
              </w:rPr>
            </w:pPr>
            <w:r w:rsidRPr="00BA0437">
              <w:rPr>
                <w:bCs/>
              </w:rPr>
              <w:t>314333,33</w:t>
            </w:r>
          </w:p>
        </w:tc>
        <w:tc>
          <w:tcPr>
            <w:tcW w:w="770" w:type="dxa"/>
            <w:vAlign w:val="center"/>
          </w:tcPr>
          <w:p w:rsidR="00BA0437" w:rsidRPr="00BA0437" w:rsidRDefault="00BA0437" w:rsidP="00BA0437">
            <w:pPr>
              <w:keepNext/>
              <w:widowControl w:val="0"/>
              <w:jc w:val="center"/>
              <w:rPr>
                <w:bCs/>
              </w:rPr>
            </w:pPr>
            <w:r w:rsidRPr="00BA0437">
              <w:rPr>
                <w:bCs/>
              </w:rPr>
              <w:t>1</w:t>
            </w:r>
          </w:p>
        </w:tc>
      </w:tr>
      <w:tr w:rsidR="00BA0437" w:rsidTr="00223157">
        <w:tblPrEx>
          <w:tblCellMar>
            <w:top w:w="0" w:type="dxa"/>
            <w:bottom w:w="0" w:type="dxa"/>
          </w:tblCellMar>
        </w:tblPrEx>
        <w:trPr>
          <w:trHeight w:val="326"/>
        </w:trPr>
        <w:tc>
          <w:tcPr>
            <w:tcW w:w="1598" w:type="dxa"/>
          </w:tcPr>
          <w:p w:rsidR="00BA0437" w:rsidRPr="00DE5AAE" w:rsidRDefault="00BA0437" w:rsidP="00BA0437">
            <w:pPr>
              <w:keepNext/>
              <w:widowControl w:val="0"/>
              <w:shd w:val="clear" w:color="auto" w:fill="FFFFFF"/>
              <w:tabs>
                <w:tab w:val="left" w:pos="0"/>
              </w:tabs>
              <w:autoSpaceDE w:val="0"/>
              <w:autoSpaceDN w:val="0"/>
              <w:adjustRightInd w:val="0"/>
              <w:ind w:left="72"/>
              <w:jc w:val="center"/>
              <w:rPr>
                <w:color w:val="000000"/>
                <w:sz w:val="22"/>
                <w:szCs w:val="22"/>
              </w:rPr>
            </w:pPr>
            <w:r w:rsidRPr="00DE5AAE">
              <w:rPr>
                <w:color w:val="000000"/>
                <w:sz w:val="22"/>
                <w:szCs w:val="22"/>
              </w:rPr>
              <w:t>Протез плеча</w:t>
            </w:r>
          </w:p>
        </w:tc>
        <w:tc>
          <w:tcPr>
            <w:tcW w:w="7042" w:type="dxa"/>
          </w:tcPr>
          <w:p w:rsidR="00BA0437" w:rsidRPr="00DE5AAE" w:rsidRDefault="00BA0437" w:rsidP="00BA0437">
            <w:pPr>
              <w:keepNext/>
              <w:widowControl w:val="0"/>
              <w:jc w:val="both"/>
              <w:rPr>
                <w:b/>
                <w:sz w:val="22"/>
                <w:szCs w:val="22"/>
              </w:rPr>
            </w:pPr>
            <w:r w:rsidRPr="00DE5AAE">
              <w:rPr>
                <w:sz w:val="22"/>
                <w:szCs w:val="22"/>
              </w:rPr>
              <w:t xml:space="preserve">Протез плеча активный должен изготавливаться по индивидуальному слепку. Материал постоянной гильзы должен быть – литьевой слоистый пластик на основе акриловых смол. Допускается изготовление пробных гильз из термопласта. Пассивный локтевой шарнир должен быть с возможностью фиксации в различных положениях. Должна быть пассивная ротация кисти. Кисть должна быть искусственная, пластмассовая с заложенной функцией </w:t>
            </w:r>
            <w:proofErr w:type="spellStart"/>
            <w:r w:rsidRPr="00DE5AAE">
              <w:rPr>
                <w:sz w:val="22"/>
                <w:szCs w:val="22"/>
              </w:rPr>
              <w:t>схвата</w:t>
            </w:r>
            <w:proofErr w:type="spellEnd"/>
            <w:r w:rsidRPr="00DE5AAE">
              <w:rPr>
                <w:sz w:val="22"/>
                <w:szCs w:val="22"/>
              </w:rPr>
              <w:t xml:space="preserve">, приводимой в действие путем натяжения </w:t>
            </w:r>
            <w:proofErr w:type="spellStart"/>
            <w:r w:rsidRPr="00DE5AAE">
              <w:rPr>
                <w:sz w:val="22"/>
                <w:szCs w:val="22"/>
              </w:rPr>
              <w:t>тянок</w:t>
            </w:r>
            <w:proofErr w:type="spellEnd"/>
            <w:r w:rsidRPr="00DE5AAE">
              <w:rPr>
                <w:sz w:val="22"/>
                <w:szCs w:val="22"/>
              </w:rPr>
              <w:t xml:space="preserve"> усеченной конечностью или здоровой рукой. </w:t>
            </w:r>
            <w:r>
              <w:rPr>
                <w:sz w:val="22"/>
                <w:szCs w:val="22"/>
              </w:rPr>
              <w:t xml:space="preserve">Косметическая оболочка кисти должна быть из ПВХ, с возможностью удаления загрязнений, максимально приближенная к естественному виду здоровой кисти, цвет оболочки должен </w:t>
            </w:r>
            <w:r w:rsidRPr="00DE5AAE">
              <w:rPr>
                <w:sz w:val="22"/>
                <w:szCs w:val="22"/>
              </w:rPr>
              <w:t>индивидуально подбира</w:t>
            </w:r>
            <w:r>
              <w:rPr>
                <w:sz w:val="22"/>
                <w:szCs w:val="22"/>
              </w:rPr>
              <w:t>ться</w:t>
            </w:r>
            <w:r w:rsidRPr="00DE5AAE">
              <w:rPr>
                <w:sz w:val="22"/>
                <w:szCs w:val="22"/>
              </w:rPr>
              <w:t xml:space="preserve"> под цвет кожных покровов пациента</w:t>
            </w:r>
            <w:r>
              <w:rPr>
                <w:sz w:val="22"/>
                <w:szCs w:val="22"/>
              </w:rPr>
              <w:t>.</w:t>
            </w:r>
            <w:r w:rsidRPr="00DE5AAE">
              <w:rPr>
                <w:sz w:val="22"/>
                <w:szCs w:val="22"/>
              </w:rPr>
              <w:t xml:space="preserve"> Крепление должно быть за счет формы приемной гильзы с дополнительным креплением бандажом.</w:t>
            </w:r>
          </w:p>
        </w:tc>
        <w:tc>
          <w:tcPr>
            <w:tcW w:w="1179" w:type="dxa"/>
            <w:vAlign w:val="center"/>
          </w:tcPr>
          <w:p w:rsidR="00BA0437" w:rsidRPr="00BA0437" w:rsidRDefault="00BA0437" w:rsidP="00BA0437">
            <w:pPr>
              <w:keepNext/>
              <w:widowControl w:val="0"/>
              <w:ind w:left="-63" w:right="-108"/>
              <w:jc w:val="center"/>
              <w:rPr>
                <w:bCs/>
              </w:rPr>
            </w:pPr>
            <w:r w:rsidRPr="00BA0437">
              <w:rPr>
                <w:bCs/>
              </w:rPr>
              <w:t>352366,67</w:t>
            </w:r>
          </w:p>
        </w:tc>
        <w:tc>
          <w:tcPr>
            <w:tcW w:w="770" w:type="dxa"/>
            <w:vAlign w:val="center"/>
          </w:tcPr>
          <w:p w:rsidR="00BA0437" w:rsidRPr="00BA0437" w:rsidRDefault="00BA0437" w:rsidP="00BA0437">
            <w:pPr>
              <w:keepNext/>
              <w:widowControl w:val="0"/>
              <w:jc w:val="center"/>
              <w:rPr>
                <w:bCs/>
              </w:rPr>
            </w:pPr>
            <w:r w:rsidRPr="00BA0437">
              <w:rPr>
                <w:bCs/>
              </w:rPr>
              <w:t>2</w:t>
            </w:r>
          </w:p>
        </w:tc>
      </w:tr>
    </w:tbl>
    <w:p w:rsidR="00BA0437" w:rsidRPr="00FD7549" w:rsidRDefault="00BA0437" w:rsidP="00BA0437">
      <w:pPr>
        <w:keepNext/>
        <w:widowControl w:val="0"/>
        <w:jc w:val="both"/>
        <w:rPr>
          <w:b/>
        </w:rPr>
      </w:pPr>
      <w:r>
        <w:rPr>
          <w:b/>
        </w:rPr>
        <w:t xml:space="preserve">11. </w:t>
      </w:r>
      <w:r w:rsidRPr="00FD7549">
        <w:rPr>
          <w:b/>
        </w:rPr>
        <w:t>Требования к техническим и функциональным характеристикам:</w:t>
      </w:r>
    </w:p>
    <w:p w:rsidR="00BA0437" w:rsidRDefault="00BA0437" w:rsidP="00BA0437">
      <w:pPr>
        <w:keepNext/>
        <w:widowControl w:val="0"/>
        <w:ind w:firstLine="709"/>
        <w:jc w:val="both"/>
        <w:rPr>
          <w:bCs/>
          <w:lang w:bidi="ru-RU"/>
        </w:rPr>
      </w:pPr>
      <w:r w:rsidRPr="00B02978">
        <w:rPr>
          <w:bCs/>
          <w:lang w:bidi="ru-RU"/>
        </w:rPr>
        <w:t xml:space="preserve">Обеспечение получателей протезами </w:t>
      </w:r>
      <w:r>
        <w:t>верхних</w:t>
      </w:r>
      <w:r w:rsidRPr="00B02978">
        <w:rPr>
          <w:bCs/>
          <w:lang w:bidi="ru-RU"/>
        </w:rPr>
        <w:t xml:space="preserve">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BA0437" w:rsidRPr="00FA7510" w:rsidRDefault="00BA0437" w:rsidP="00BA0437">
      <w:pPr>
        <w:keepNext/>
        <w:widowControl w:val="0"/>
        <w:ind w:firstLine="709"/>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w:t>
      </w:r>
      <w:r w:rsidRPr="00FA7510">
        <w:rPr>
          <w:bCs/>
          <w:lang w:bidi="ru-RU"/>
        </w:rPr>
        <w:lastRenderedPageBreak/>
        <w:t xml:space="preserve">кровообращения. </w:t>
      </w:r>
    </w:p>
    <w:p w:rsidR="00BA0437" w:rsidRPr="00FA7510" w:rsidRDefault="00BA0437" w:rsidP="00BA0437">
      <w:pPr>
        <w:keepNext/>
        <w:widowControl w:val="0"/>
        <w:ind w:firstLine="709"/>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BA0437" w:rsidRDefault="00BA0437" w:rsidP="00BA0437">
      <w:pPr>
        <w:keepNext/>
        <w:widowControl w:val="0"/>
        <w:ind w:firstLine="709"/>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BA0437" w:rsidRDefault="00BA0437" w:rsidP="00BA0437">
      <w:pPr>
        <w:keepNext/>
        <w:widowControl w:val="0"/>
        <w:jc w:val="both"/>
        <w:rPr>
          <w:lang w:bidi="ru-RU"/>
        </w:rPr>
      </w:pPr>
      <w:r>
        <w:rPr>
          <w:b/>
          <w:lang w:bidi="ru-RU"/>
        </w:rPr>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BA0437" w:rsidRPr="00167751" w:rsidRDefault="00BA0437" w:rsidP="00BA0437">
      <w:pPr>
        <w:keepNext/>
        <w:widowControl w:val="0"/>
        <w:ind w:firstLine="709"/>
        <w:jc w:val="both"/>
        <w:rPr>
          <w:lang w:bidi="ru-RU"/>
        </w:rPr>
      </w:pPr>
      <w:r w:rsidRPr="00167751">
        <w:rPr>
          <w:lang w:bidi="ru-RU"/>
        </w:rPr>
        <w:t>Обеспечение протезами</w:t>
      </w:r>
      <w:r>
        <w:rPr>
          <w:lang w:bidi="ru-RU"/>
        </w:rPr>
        <w:t xml:space="preserve"> </w:t>
      </w:r>
      <w:r>
        <w:t>верхних</w:t>
      </w:r>
      <w:r w:rsidRPr="00167751">
        <w:rPr>
          <w:lang w:bidi="ru-RU"/>
        </w:rPr>
        <w:t xml:space="preserve"> конечностей должно включать в себя:</w:t>
      </w:r>
    </w:p>
    <w:p w:rsidR="00BA0437" w:rsidRDefault="00BA0437" w:rsidP="00BA0437">
      <w:pPr>
        <w:keepNext/>
        <w:widowControl w:val="0"/>
        <w:ind w:firstLine="709"/>
        <w:jc w:val="both"/>
        <w:rPr>
          <w:lang w:bidi="ru-RU"/>
        </w:rPr>
      </w:pPr>
      <w:r w:rsidRPr="00167751">
        <w:rPr>
          <w:lang w:bidi="ru-RU"/>
        </w:rPr>
        <w:t xml:space="preserve">- </w:t>
      </w:r>
      <w:r w:rsidRPr="0066313B">
        <w:rPr>
          <w:lang w:bidi="ru-RU"/>
        </w:rPr>
        <w:t>изготовление и подборку протезов</w:t>
      </w:r>
      <w:r w:rsidRPr="002F3949">
        <w:t xml:space="preserve"> </w:t>
      </w:r>
      <w:r>
        <w:t>верхних</w:t>
      </w:r>
      <w:r w:rsidRPr="0066313B">
        <w:rPr>
          <w:lang w:bidi="ru-RU"/>
        </w:rPr>
        <w:t xml:space="preserve"> конечностей</w:t>
      </w:r>
      <w:r w:rsidRPr="0066313B">
        <w:t xml:space="preserve"> индивидуально, с учетом анатомических дефектов </w:t>
      </w:r>
      <w:r>
        <w:t>верхних</w:t>
      </w:r>
      <w:r w:rsidRPr="0066313B">
        <w:t xml:space="preserve">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BA0437" w:rsidRPr="00167751" w:rsidRDefault="00BA0437" w:rsidP="00BA0437">
      <w:pPr>
        <w:keepNext/>
        <w:widowControl w:val="0"/>
        <w:ind w:firstLine="709"/>
        <w:jc w:val="both"/>
        <w:rPr>
          <w:lang w:bidi="ru-RU"/>
        </w:rPr>
      </w:pPr>
      <w:r w:rsidRPr="00167751">
        <w:rPr>
          <w:lang w:bidi="ru-RU"/>
        </w:rPr>
        <w:t xml:space="preserve">- </w:t>
      </w:r>
      <w:r>
        <w:rPr>
          <w:lang w:bidi="ru-RU"/>
        </w:rPr>
        <w:t xml:space="preserve">ремонт и </w:t>
      </w:r>
      <w:r w:rsidRPr="00167751">
        <w:rPr>
          <w:lang w:bidi="ru-RU"/>
        </w:rPr>
        <w:t>замену протезов</w:t>
      </w:r>
      <w:r w:rsidRPr="002F3949">
        <w:t xml:space="preserve"> </w:t>
      </w:r>
      <w:r>
        <w:t>верхних</w:t>
      </w:r>
      <w:r w:rsidRPr="00167751">
        <w:rPr>
          <w:lang w:bidi="ru-RU"/>
        </w:rPr>
        <w:t xml:space="preserve"> конечностей, в случаях, установленных Контрактом;</w:t>
      </w:r>
    </w:p>
    <w:p w:rsidR="00BA0437" w:rsidRPr="00167751" w:rsidRDefault="00BA0437" w:rsidP="00BA0437">
      <w:pPr>
        <w:keepNext/>
        <w:widowControl w:val="0"/>
        <w:ind w:firstLine="709"/>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w:t>
      </w:r>
      <w:r>
        <w:t>верхних</w:t>
      </w:r>
      <w:r w:rsidRPr="00167751">
        <w:rPr>
          <w:lang w:bidi="ru-RU"/>
        </w:rPr>
        <w:t xml:space="preserve"> конечностей.  </w:t>
      </w:r>
    </w:p>
    <w:p w:rsidR="00BA0437" w:rsidRDefault="00BA0437" w:rsidP="00BA0437">
      <w:pPr>
        <w:keepNext/>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w:t>
      </w:r>
      <w:r>
        <w:t>верхних</w:t>
      </w:r>
      <w:r w:rsidRPr="00FD7549">
        <w:t xml:space="preserve">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w:t>
      </w:r>
      <w:r>
        <w:t xml:space="preserve"> верхних</w:t>
      </w:r>
      <w:r w:rsidRPr="00FD7549">
        <w:t xml:space="preserve"> конечностей</w:t>
      </w:r>
      <w:r>
        <w:t>,</w:t>
      </w:r>
      <w:r w:rsidRPr="00FD7549">
        <w:t xml:space="preserve"> указываемых в заявке Участником.</w:t>
      </w:r>
    </w:p>
    <w:p w:rsidR="00BA0437" w:rsidRPr="009F6390" w:rsidRDefault="00BA0437" w:rsidP="00BA0437">
      <w:pPr>
        <w:keepNext/>
        <w:widowControl w:val="0"/>
        <w:ind w:firstLine="709"/>
        <w:jc w:val="both"/>
        <w:rPr>
          <w:lang w:bidi="ru-RU"/>
        </w:rPr>
      </w:pPr>
      <w:r w:rsidRPr="009F6390">
        <w:rPr>
          <w:lang w:bidi="ru-RU"/>
        </w:rPr>
        <w:t xml:space="preserve">Материалы, применяемые при изготовлении </w:t>
      </w:r>
      <w:r>
        <w:rPr>
          <w:lang w:bidi="ru-RU"/>
        </w:rPr>
        <w:t xml:space="preserve">Изделий, </w:t>
      </w:r>
      <w:r w:rsidRPr="009F6390">
        <w:rPr>
          <w:lang w:bidi="ru-RU"/>
        </w:rPr>
        <w:t>контактирующие с телом пациента, должны</w:t>
      </w:r>
      <w:r w:rsidRPr="00FA7510">
        <w:rPr>
          <w:lang w:bidi="ru-RU"/>
        </w:rPr>
        <w:t xml:space="preserve">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токсических и аллергических реакций.</w:t>
      </w:r>
    </w:p>
    <w:p w:rsidR="00BA0437" w:rsidRPr="00FD7549" w:rsidRDefault="00BA0437" w:rsidP="00BA0437">
      <w:pPr>
        <w:keepNext/>
        <w:widowControl w:val="0"/>
        <w:jc w:val="both"/>
        <w:rPr>
          <w:b/>
          <w:bCs/>
        </w:rPr>
      </w:pPr>
      <w:r>
        <w:rPr>
          <w:b/>
          <w:bCs/>
        </w:rPr>
        <w:t xml:space="preserve">14. </w:t>
      </w:r>
      <w:r w:rsidRPr="00FD7549">
        <w:rPr>
          <w:b/>
          <w:bCs/>
        </w:rPr>
        <w:t>Требования к результатам выполняемых работ:</w:t>
      </w:r>
    </w:p>
    <w:p w:rsidR="00BA0437" w:rsidRDefault="00BA0437" w:rsidP="00BA0437">
      <w:pPr>
        <w:keepNext/>
        <w:widowControl w:val="0"/>
        <w:ind w:firstLine="709"/>
        <w:jc w:val="both"/>
      </w:pPr>
      <w:r>
        <w:t>Работы</w:t>
      </w:r>
      <w:r w:rsidRPr="00FD7549">
        <w:t xml:space="preserve"> по обеспечению протезами должны быть выполнены с надлежащим качеством и в установленные сроки. </w:t>
      </w:r>
    </w:p>
    <w:p w:rsidR="00BA0437" w:rsidRPr="00FD7549" w:rsidRDefault="00BA0437" w:rsidP="00BA0437">
      <w:pPr>
        <w:keepNext/>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BA0437" w:rsidRDefault="00BA0437" w:rsidP="00BA0437">
      <w:pPr>
        <w:keepNext/>
        <w:widowControl w:val="0"/>
        <w:ind w:firstLine="709"/>
        <w:jc w:val="both"/>
        <w:rPr>
          <w:sz w:val="16"/>
        </w:rPr>
      </w:pPr>
      <w:r w:rsidRPr="00FD7549">
        <w:t xml:space="preserve">Гарантийный срок на протезы </w:t>
      </w:r>
      <w:r>
        <w:t>верхних</w:t>
      </w:r>
      <w:r w:rsidRPr="00FD7549">
        <w:t xml:space="preserve"> конечностей устанавливается со дня выдачи готового изделия в эксплуатацию и составляет не менее </w:t>
      </w:r>
      <w:r>
        <w:t>24</w:t>
      </w:r>
      <w:r w:rsidRPr="00FD7549">
        <w:t xml:space="preserve"> месяц</w:t>
      </w:r>
      <w:r>
        <w:t>а</w:t>
      </w:r>
      <w:r w:rsidRPr="00FD7549">
        <w:t xml:space="preserve">.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31074A">
      <w:pPr>
        <w:pStyle w:val="a3"/>
        <w:keepNext/>
        <w:widowControl w:val="0"/>
        <w:ind w:left="0"/>
        <w:jc w:val="both"/>
        <w:rPr>
          <w:rFonts w:eastAsia="Arial Unicode MS"/>
          <w:sz w:val="18"/>
          <w:szCs w:val="18"/>
        </w:rPr>
      </w:pPr>
    </w:p>
    <w:sectPr w:rsidR="002044E6" w:rsidSect="005B3F9C">
      <w:pgSz w:w="11905" w:h="16837"/>
      <w:pgMar w:top="426" w:right="567" w:bottom="426"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A0" w:rsidRDefault="00CA57A0">
      <w:r>
        <w:separator/>
      </w:r>
    </w:p>
  </w:endnote>
  <w:endnote w:type="continuationSeparator" w:id="0">
    <w:p w:rsidR="00CA57A0" w:rsidRDefault="00CA5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A0" w:rsidRDefault="00CA57A0">
      <w:r>
        <w:separator/>
      </w:r>
    </w:p>
  </w:footnote>
  <w:footnote w:type="continuationSeparator" w:id="0">
    <w:p w:rsidR="00CA57A0" w:rsidRDefault="00CA5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259"/>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0F50D1"/>
    <w:rsid w:val="0010126C"/>
    <w:rsid w:val="0010552C"/>
    <w:rsid w:val="00113C9C"/>
    <w:rsid w:val="00114889"/>
    <w:rsid w:val="001153A9"/>
    <w:rsid w:val="001205BB"/>
    <w:rsid w:val="00122D44"/>
    <w:rsid w:val="001248C9"/>
    <w:rsid w:val="00140069"/>
    <w:rsid w:val="00142042"/>
    <w:rsid w:val="00147AB7"/>
    <w:rsid w:val="001535F5"/>
    <w:rsid w:val="001541FE"/>
    <w:rsid w:val="00156042"/>
    <w:rsid w:val="0016500C"/>
    <w:rsid w:val="00165E2F"/>
    <w:rsid w:val="00171580"/>
    <w:rsid w:val="00173BD4"/>
    <w:rsid w:val="00184A04"/>
    <w:rsid w:val="00190FEB"/>
    <w:rsid w:val="00195176"/>
    <w:rsid w:val="001A3A38"/>
    <w:rsid w:val="001A6F85"/>
    <w:rsid w:val="001B05DD"/>
    <w:rsid w:val="001B0611"/>
    <w:rsid w:val="001B1EEC"/>
    <w:rsid w:val="001C28CA"/>
    <w:rsid w:val="001C7261"/>
    <w:rsid w:val="001E7BFC"/>
    <w:rsid w:val="001F0E2E"/>
    <w:rsid w:val="001F18B4"/>
    <w:rsid w:val="00203225"/>
    <w:rsid w:val="002044E6"/>
    <w:rsid w:val="0020514D"/>
    <w:rsid w:val="002074BE"/>
    <w:rsid w:val="002115DC"/>
    <w:rsid w:val="00215087"/>
    <w:rsid w:val="00216F7A"/>
    <w:rsid w:val="00223157"/>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21B2"/>
    <w:rsid w:val="00294EB3"/>
    <w:rsid w:val="002A0C4B"/>
    <w:rsid w:val="002A786F"/>
    <w:rsid w:val="002B2F3B"/>
    <w:rsid w:val="002C6407"/>
    <w:rsid w:val="002E5E84"/>
    <w:rsid w:val="00301880"/>
    <w:rsid w:val="0030714D"/>
    <w:rsid w:val="0031074A"/>
    <w:rsid w:val="00316BF4"/>
    <w:rsid w:val="0032055D"/>
    <w:rsid w:val="003270D1"/>
    <w:rsid w:val="0032740D"/>
    <w:rsid w:val="003406A5"/>
    <w:rsid w:val="00342FE8"/>
    <w:rsid w:val="0034557E"/>
    <w:rsid w:val="003566CE"/>
    <w:rsid w:val="00357415"/>
    <w:rsid w:val="003602B6"/>
    <w:rsid w:val="003607E6"/>
    <w:rsid w:val="00363E63"/>
    <w:rsid w:val="00380817"/>
    <w:rsid w:val="00380B02"/>
    <w:rsid w:val="00381466"/>
    <w:rsid w:val="00383196"/>
    <w:rsid w:val="003A0BC0"/>
    <w:rsid w:val="003A42CF"/>
    <w:rsid w:val="003A69B4"/>
    <w:rsid w:val="003B119E"/>
    <w:rsid w:val="003B45A8"/>
    <w:rsid w:val="003B4862"/>
    <w:rsid w:val="003B66AB"/>
    <w:rsid w:val="003D1015"/>
    <w:rsid w:val="003D1F6B"/>
    <w:rsid w:val="003D386A"/>
    <w:rsid w:val="003D4B02"/>
    <w:rsid w:val="003D4CA6"/>
    <w:rsid w:val="003D4D22"/>
    <w:rsid w:val="003D57D2"/>
    <w:rsid w:val="003E3A6C"/>
    <w:rsid w:val="003F1547"/>
    <w:rsid w:val="003F2702"/>
    <w:rsid w:val="00401B3A"/>
    <w:rsid w:val="00415352"/>
    <w:rsid w:val="00416846"/>
    <w:rsid w:val="00426C4B"/>
    <w:rsid w:val="004402B3"/>
    <w:rsid w:val="00444329"/>
    <w:rsid w:val="00444D41"/>
    <w:rsid w:val="00446085"/>
    <w:rsid w:val="00456D00"/>
    <w:rsid w:val="00464638"/>
    <w:rsid w:val="004715C5"/>
    <w:rsid w:val="00472396"/>
    <w:rsid w:val="004758E2"/>
    <w:rsid w:val="00484EB4"/>
    <w:rsid w:val="00490614"/>
    <w:rsid w:val="00491C1E"/>
    <w:rsid w:val="00492870"/>
    <w:rsid w:val="004A3CC4"/>
    <w:rsid w:val="004A59C9"/>
    <w:rsid w:val="004B03A5"/>
    <w:rsid w:val="004B4453"/>
    <w:rsid w:val="004C7C6F"/>
    <w:rsid w:val="004D4851"/>
    <w:rsid w:val="004D6A93"/>
    <w:rsid w:val="004E1D83"/>
    <w:rsid w:val="004E3217"/>
    <w:rsid w:val="004E37CD"/>
    <w:rsid w:val="004E415E"/>
    <w:rsid w:val="004E5812"/>
    <w:rsid w:val="004E5FF4"/>
    <w:rsid w:val="004E6B75"/>
    <w:rsid w:val="004F0E4F"/>
    <w:rsid w:val="004F6884"/>
    <w:rsid w:val="00500ACF"/>
    <w:rsid w:val="0050110B"/>
    <w:rsid w:val="00502B06"/>
    <w:rsid w:val="00504342"/>
    <w:rsid w:val="00504F30"/>
    <w:rsid w:val="0051442E"/>
    <w:rsid w:val="00515DBA"/>
    <w:rsid w:val="00516D14"/>
    <w:rsid w:val="00516E38"/>
    <w:rsid w:val="005216A6"/>
    <w:rsid w:val="005265FB"/>
    <w:rsid w:val="0053679C"/>
    <w:rsid w:val="00551C7C"/>
    <w:rsid w:val="00553B74"/>
    <w:rsid w:val="005607EE"/>
    <w:rsid w:val="00561A81"/>
    <w:rsid w:val="00565ED3"/>
    <w:rsid w:val="00580AD2"/>
    <w:rsid w:val="00580FD3"/>
    <w:rsid w:val="00581905"/>
    <w:rsid w:val="00581B6C"/>
    <w:rsid w:val="005955EE"/>
    <w:rsid w:val="00595C06"/>
    <w:rsid w:val="00597FD5"/>
    <w:rsid w:val="005A0A06"/>
    <w:rsid w:val="005A1BA0"/>
    <w:rsid w:val="005A76AC"/>
    <w:rsid w:val="005B3F9C"/>
    <w:rsid w:val="005B6F18"/>
    <w:rsid w:val="005B7321"/>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38E"/>
    <w:rsid w:val="00647495"/>
    <w:rsid w:val="006512F8"/>
    <w:rsid w:val="00661340"/>
    <w:rsid w:val="0066313B"/>
    <w:rsid w:val="00674E59"/>
    <w:rsid w:val="006818CA"/>
    <w:rsid w:val="006967D8"/>
    <w:rsid w:val="006B3CCC"/>
    <w:rsid w:val="006B558F"/>
    <w:rsid w:val="006B6A54"/>
    <w:rsid w:val="006B7C74"/>
    <w:rsid w:val="006C56C2"/>
    <w:rsid w:val="006C5CFD"/>
    <w:rsid w:val="006D0118"/>
    <w:rsid w:val="006D6DB5"/>
    <w:rsid w:val="006D7278"/>
    <w:rsid w:val="006D7B36"/>
    <w:rsid w:val="006E1B72"/>
    <w:rsid w:val="006E5120"/>
    <w:rsid w:val="00700A68"/>
    <w:rsid w:val="00703CA1"/>
    <w:rsid w:val="007158A0"/>
    <w:rsid w:val="0072034E"/>
    <w:rsid w:val="00722C97"/>
    <w:rsid w:val="00723FF0"/>
    <w:rsid w:val="00724A2B"/>
    <w:rsid w:val="007253FF"/>
    <w:rsid w:val="00727C06"/>
    <w:rsid w:val="007307FF"/>
    <w:rsid w:val="007337CA"/>
    <w:rsid w:val="00743FFA"/>
    <w:rsid w:val="00745E26"/>
    <w:rsid w:val="00747416"/>
    <w:rsid w:val="00753F33"/>
    <w:rsid w:val="00754136"/>
    <w:rsid w:val="00754D0B"/>
    <w:rsid w:val="0076114D"/>
    <w:rsid w:val="007625E9"/>
    <w:rsid w:val="0076570A"/>
    <w:rsid w:val="007675FF"/>
    <w:rsid w:val="00771574"/>
    <w:rsid w:val="0077481F"/>
    <w:rsid w:val="00782E4A"/>
    <w:rsid w:val="00783E9A"/>
    <w:rsid w:val="00793789"/>
    <w:rsid w:val="007A0BB5"/>
    <w:rsid w:val="007A157B"/>
    <w:rsid w:val="007A26F7"/>
    <w:rsid w:val="007A49A8"/>
    <w:rsid w:val="007A56AC"/>
    <w:rsid w:val="007A58FE"/>
    <w:rsid w:val="007D2430"/>
    <w:rsid w:val="007D3462"/>
    <w:rsid w:val="007E50E6"/>
    <w:rsid w:val="007E6D55"/>
    <w:rsid w:val="007F1C3C"/>
    <w:rsid w:val="007F2EBC"/>
    <w:rsid w:val="00800441"/>
    <w:rsid w:val="008105BE"/>
    <w:rsid w:val="008263E6"/>
    <w:rsid w:val="00831852"/>
    <w:rsid w:val="008324D3"/>
    <w:rsid w:val="00832F50"/>
    <w:rsid w:val="008364F1"/>
    <w:rsid w:val="00836CD9"/>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379F"/>
    <w:rsid w:val="00945364"/>
    <w:rsid w:val="00950D2E"/>
    <w:rsid w:val="009564F4"/>
    <w:rsid w:val="009628D0"/>
    <w:rsid w:val="00973703"/>
    <w:rsid w:val="0097786A"/>
    <w:rsid w:val="00977D4C"/>
    <w:rsid w:val="00985011"/>
    <w:rsid w:val="00985DCD"/>
    <w:rsid w:val="009908A9"/>
    <w:rsid w:val="00990A3C"/>
    <w:rsid w:val="00992573"/>
    <w:rsid w:val="00996706"/>
    <w:rsid w:val="00996EA8"/>
    <w:rsid w:val="009A1D18"/>
    <w:rsid w:val="009A4FAA"/>
    <w:rsid w:val="009A743D"/>
    <w:rsid w:val="009B3BAA"/>
    <w:rsid w:val="009B61D1"/>
    <w:rsid w:val="009C1C14"/>
    <w:rsid w:val="009C63F8"/>
    <w:rsid w:val="009D2D9A"/>
    <w:rsid w:val="009D3AA0"/>
    <w:rsid w:val="009D771B"/>
    <w:rsid w:val="009E0ED4"/>
    <w:rsid w:val="009E3D92"/>
    <w:rsid w:val="009F0544"/>
    <w:rsid w:val="009F2BF1"/>
    <w:rsid w:val="00A0011F"/>
    <w:rsid w:val="00A04D66"/>
    <w:rsid w:val="00A05633"/>
    <w:rsid w:val="00A0610D"/>
    <w:rsid w:val="00A07F6B"/>
    <w:rsid w:val="00A3655B"/>
    <w:rsid w:val="00A56DD8"/>
    <w:rsid w:val="00A6101C"/>
    <w:rsid w:val="00A721FF"/>
    <w:rsid w:val="00A74850"/>
    <w:rsid w:val="00A76940"/>
    <w:rsid w:val="00A76B52"/>
    <w:rsid w:val="00A81DF2"/>
    <w:rsid w:val="00A84040"/>
    <w:rsid w:val="00A87B96"/>
    <w:rsid w:val="00A95BAD"/>
    <w:rsid w:val="00A964AE"/>
    <w:rsid w:val="00AA1B34"/>
    <w:rsid w:val="00AA470A"/>
    <w:rsid w:val="00AA4DD8"/>
    <w:rsid w:val="00AA51F6"/>
    <w:rsid w:val="00AB72A1"/>
    <w:rsid w:val="00AC4DBE"/>
    <w:rsid w:val="00AC50F0"/>
    <w:rsid w:val="00AC5C60"/>
    <w:rsid w:val="00AD31B8"/>
    <w:rsid w:val="00AD6F3E"/>
    <w:rsid w:val="00AF356A"/>
    <w:rsid w:val="00AF630D"/>
    <w:rsid w:val="00B20AE8"/>
    <w:rsid w:val="00B24076"/>
    <w:rsid w:val="00B30247"/>
    <w:rsid w:val="00B4211B"/>
    <w:rsid w:val="00B4690E"/>
    <w:rsid w:val="00B46E72"/>
    <w:rsid w:val="00B47D3E"/>
    <w:rsid w:val="00B538D7"/>
    <w:rsid w:val="00B616BB"/>
    <w:rsid w:val="00B737F6"/>
    <w:rsid w:val="00B74167"/>
    <w:rsid w:val="00B80514"/>
    <w:rsid w:val="00B814B3"/>
    <w:rsid w:val="00B82400"/>
    <w:rsid w:val="00B8607C"/>
    <w:rsid w:val="00BA0437"/>
    <w:rsid w:val="00BA44F4"/>
    <w:rsid w:val="00BA48CF"/>
    <w:rsid w:val="00BA56F0"/>
    <w:rsid w:val="00BB3CB8"/>
    <w:rsid w:val="00BB4884"/>
    <w:rsid w:val="00BB6977"/>
    <w:rsid w:val="00BB7F41"/>
    <w:rsid w:val="00BC012F"/>
    <w:rsid w:val="00BC033E"/>
    <w:rsid w:val="00BC0E51"/>
    <w:rsid w:val="00BC3CBB"/>
    <w:rsid w:val="00BD2C84"/>
    <w:rsid w:val="00BE0D7D"/>
    <w:rsid w:val="00BE38C8"/>
    <w:rsid w:val="00BF234D"/>
    <w:rsid w:val="00C1070E"/>
    <w:rsid w:val="00C12828"/>
    <w:rsid w:val="00C12E83"/>
    <w:rsid w:val="00C14ED4"/>
    <w:rsid w:val="00C171B7"/>
    <w:rsid w:val="00C2442F"/>
    <w:rsid w:val="00C32D77"/>
    <w:rsid w:val="00C379CE"/>
    <w:rsid w:val="00C40B77"/>
    <w:rsid w:val="00C41810"/>
    <w:rsid w:val="00C4423F"/>
    <w:rsid w:val="00C52695"/>
    <w:rsid w:val="00C62EA6"/>
    <w:rsid w:val="00C7109C"/>
    <w:rsid w:val="00C72C55"/>
    <w:rsid w:val="00C77375"/>
    <w:rsid w:val="00C77B2C"/>
    <w:rsid w:val="00C8121B"/>
    <w:rsid w:val="00C81F7F"/>
    <w:rsid w:val="00C839B7"/>
    <w:rsid w:val="00C84408"/>
    <w:rsid w:val="00C91446"/>
    <w:rsid w:val="00C94763"/>
    <w:rsid w:val="00C96E1F"/>
    <w:rsid w:val="00CA126A"/>
    <w:rsid w:val="00CA1E85"/>
    <w:rsid w:val="00CA57A0"/>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4727"/>
    <w:rsid w:val="00D273CB"/>
    <w:rsid w:val="00D309C6"/>
    <w:rsid w:val="00D32A9C"/>
    <w:rsid w:val="00D34CB1"/>
    <w:rsid w:val="00D355CC"/>
    <w:rsid w:val="00D35C80"/>
    <w:rsid w:val="00D47416"/>
    <w:rsid w:val="00D47889"/>
    <w:rsid w:val="00D55C7B"/>
    <w:rsid w:val="00D5644E"/>
    <w:rsid w:val="00D57A98"/>
    <w:rsid w:val="00D61DD6"/>
    <w:rsid w:val="00D63E15"/>
    <w:rsid w:val="00D645D8"/>
    <w:rsid w:val="00D66E90"/>
    <w:rsid w:val="00D67714"/>
    <w:rsid w:val="00D67C08"/>
    <w:rsid w:val="00D708EE"/>
    <w:rsid w:val="00D73B00"/>
    <w:rsid w:val="00D7460C"/>
    <w:rsid w:val="00D76413"/>
    <w:rsid w:val="00D769CC"/>
    <w:rsid w:val="00D83A46"/>
    <w:rsid w:val="00D93EC2"/>
    <w:rsid w:val="00D9572B"/>
    <w:rsid w:val="00DA1446"/>
    <w:rsid w:val="00DA144D"/>
    <w:rsid w:val="00DA4684"/>
    <w:rsid w:val="00DB1478"/>
    <w:rsid w:val="00DC2CF0"/>
    <w:rsid w:val="00DC6F34"/>
    <w:rsid w:val="00DC7AFA"/>
    <w:rsid w:val="00DD77C0"/>
    <w:rsid w:val="00DD7CCC"/>
    <w:rsid w:val="00DF0831"/>
    <w:rsid w:val="00DF0B39"/>
    <w:rsid w:val="00DF0CAC"/>
    <w:rsid w:val="00DF1843"/>
    <w:rsid w:val="00DF39CA"/>
    <w:rsid w:val="00DF5B67"/>
    <w:rsid w:val="00E02E61"/>
    <w:rsid w:val="00E10F70"/>
    <w:rsid w:val="00E1790A"/>
    <w:rsid w:val="00E2002C"/>
    <w:rsid w:val="00E20986"/>
    <w:rsid w:val="00E25936"/>
    <w:rsid w:val="00E264AF"/>
    <w:rsid w:val="00E3320C"/>
    <w:rsid w:val="00E412C9"/>
    <w:rsid w:val="00E41573"/>
    <w:rsid w:val="00E43168"/>
    <w:rsid w:val="00E57748"/>
    <w:rsid w:val="00E62F03"/>
    <w:rsid w:val="00E70FC7"/>
    <w:rsid w:val="00E73AC1"/>
    <w:rsid w:val="00E92B02"/>
    <w:rsid w:val="00EA5A3B"/>
    <w:rsid w:val="00EB1E23"/>
    <w:rsid w:val="00EB283E"/>
    <w:rsid w:val="00EB38C1"/>
    <w:rsid w:val="00EB44B3"/>
    <w:rsid w:val="00EB5177"/>
    <w:rsid w:val="00EB7C77"/>
    <w:rsid w:val="00EC6E89"/>
    <w:rsid w:val="00ED0842"/>
    <w:rsid w:val="00ED3E22"/>
    <w:rsid w:val="00EE1268"/>
    <w:rsid w:val="00EE5A1C"/>
    <w:rsid w:val="00EE7AC1"/>
    <w:rsid w:val="00F00E16"/>
    <w:rsid w:val="00F01144"/>
    <w:rsid w:val="00F035CD"/>
    <w:rsid w:val="00F055B4"/>
    <w:rsid w:val="00F07819"/>
    <w:rsid w:val="00F2074B"/>
    <w:rsid w:val="00F21818"/>
    <w:rsid w:val="00F32E1E"/>
    <w:rsid w:val="00F46DA9"/>
    <w:rsid w:val="00F566BD"/>
    <w:rsid w:val="00F572E0"/>
    <w:rsid w:val="00F665BA"/>
    <w:rsid w:val="00F74C99"/>
    <w:rsid w:val="00F76B07"/>
    <w:rsid w:val="00F904FA"/>
    <w:rsid w:val="00F918BC"/>
    <w:rsid w:val="00F9606A"/>
    <w:rsid w:val="00F97EBC"/>
    <w:rsid w:val="00FA1D99"/>
    <w:rsid w:val="00FA27A5"/>
    <w:rsid w:val="00FB6F86"/>
    <w:rsid w:val="00FC0C1D"/>
    <w:rsid w:val="00FC5DC4"/>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56C9-8C68-42D8-8926-FBA6BB35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6836</CharactersWithSpaces>
  <SharedDoc>false</SharedDoc>
  <HLinks>
    <vt:vector size="12" baseType="variant">
      <vt:variant>
        <vt:i4>2228261</vt:i4>
      </vt:variant>
      <vt:variant>
        <vt:i4>21500</vt:i4>
      </vt:variant>
      <vt:variant>
        <vt:i4>1026</vt:i4>
      </vt:variant>
      <vt:variant>
        <vt:i4>1</vt:i4>
      </vt:variant>
      <vt:variant>
        <vt:lpwstr>http://www.1gl.ru/system/content/feature/image/2633957/</vt:lpwstr>
      </vt:variant>
      <vt:variant>
        <vt:lpwstr/>
      </vt:variant>
      <vt:variant>
        <vt:i4>2228261</vt:i4>
      </vt:variant>
      <vt:variant>
        <vt:i4>22486</vt:i4>
      </vt:variant>
      <vt:variant>
        <vt:i4>1028</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2019-04-23T09:01:00Z</cp:lastPrinted>
  <dcterms:created xsi:type="dcterms:W3CDTF">2019-05-13T07:20:00Z</dcterms:created>
  <dcterms:modified xsi:type="dcterms:W3CDTF">2019-05-13T07:20:00Z</dcterms:modified>
</cp:coreProperties>
</file>