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4" w:rsidRDefault="00584F14" w:rsidP="00584F1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584F14" w:rsidRDefault="00584F14" w:rsidP="00584F14">
      <w:pPr>
        <w:shd w:val="clear" w:color="auto" w:fill="FFFFFF"/>
        <w:jc w:val="center"/>
        <w:rPr>
          <w:b/>
          <w:bCs/>
        </w:rPr>
      </w:pPr>
    </w:p>
    <w:p w:rsidR="00584F14" w:rsidRPr="00B23B45" w:rsidRDefault="00584F14" w:rsidP="00584F14">
      <w:pPr>
        <w:shd w:val="clear" w:color="auto" w:fill="FFFFFF"/>
        <w:jc w:val="both"/>
      </w:pPr>
      <w:r>
        <w:rPr>
          <w:b/>
          <w:bCs/>
        </w:rPr>
        <w:t>1</w:t>
      </w:r>
      <w:r w:rsidRPr="00B23B45">
        <w:rPr>
          <w:b/>
          <w:bCs/>
        </w:rPr>
        <w:t xml:space="preserve">. Краткое изложение условий контракта: </w:t>
      </w:r>
    </w:p>
    <w:p w:rsidR="00584F14" w:rsidRPr="004260B9" w:rsidRDefault="00584F14" w:rsidP="00584F14">
      <w:pPr>
        <w:tabs>
          <w:tab w:val="center" w:pos="4844"/>
          <w:tab w:val="right" w:pos="9689"/>
        </w:tabs>
        <w:jc w:val="both"/>
        <w:rPr>
          <w:bCs/>
          <w:color w:val="FF0000"/>
        </w:rPr>
      </w:pPr>
      <w:r>
        <w:rPr>
          <w:b/>
          <w:bCs/>
        </w:rPr>
        <w:t>1</w:t>
      </w:r>
      <w:r w:rsidRPr="00B601BE">
        <w:rPr>
          <w:b/>
          <w:bCs/>
        </w:rPr>
        <w:t>.1. Наименование объекта закупки</w:t>
      </w:r>
      <w:r w:rsidRPr="00B23B45">
        <w:rPr>
          <w:bCs/>
        </w:rPr>
        <w:t>:</w:t>
      </w:r>
      <w:r w:rsidRPr="00B23B45">
        <w:rPr>
          <w:b/>
          <w:color w:val="000000"/>
        </w:rPr>
        <w:t xml:space="preserve"> </w:t>
      </w:r>
      <w:r w:rsidRPr="00141E9A">
        <w:rPr>
          <w:bCs/>
          <w:color w:val="000000"/>
        </w:rPr>
        <w:t>поставк</w:t>
      </w:r>
      <w:r>
        <w:rPr>
          <w:bCs/>
          <w:color w:val="000000"/>
        </w:rPr>
        <w:t>а</w:t>
      </w:r>
      <w:r w:rsidRPr="00141E9A">
        <w:rPr>
          <w:bCs/>
          <w:color w:val="000000"/>
        </w:rPr>
        <w:t xml:space="preserve"> технических средств реабилитации – слуховых аппаратов с подборкой, настройкой и изготовлением индивидуальных ушных вкладышей</w:t>
      </w:r>
      <w:r w:rsidRPr="004260B9">
        <w:rPr>
          <w:bCs/>
          <w:color w:val="FF0000"/>
        </w:rPr>
        <w:t>.</w:t>
      </w:r>
    </w:p>
    <w:p w:rsidR="00584F14" w:rsidRPr="00444084" w:rsidRDefault="00584F14" w:rsidP="00584F14">
      <w:pPr>
        <w:pStyle w:val="21"/>
        <w:widowControl w:val="0"/>
        <w:autoSpaceDE/>
        <w:spacing w:before="0"/>
        <w:rPr>
          <w:szCs w:val="24"/>
        </w:rPr>
      </w:pPr>
      <w:r>
        <w:rPr>
          <w:szCs w:val="24"/>
        </w:rPr>
        <w:t>1</w:t>
      </w:r>
      <w:r w:rsidRPr="00444084">
        <w:rPr>
          <w:szCs w:val="24"/>
        </w:rPr>
        <w:t xml:space="preserve">.2. Описание объекта закупки: </w:t>
      </w:r>
    </w:p>
    <w:p w:rsidR="00584F14" w:rsidRPr="00444084" w:rsidRDefault="00584F14" w:rsidP="00584F1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444084"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584F14" w:rsidRPr="00444084" w:rsidRDefault="00584F14" w:rsidP="00584F14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lang w:eastAsia="ar-SA"/>
        </w:rPr>
      </w:pPr>
      <w:r w:rsidRPr="00444084">
        <w:rPr>
          <w:bCs/>
          <w:i/>
          <w:lang w:eastAsia="ar-SA"/>
        </w:rPr>
        <w:t xml:space="preserve">                                                                         Таблица №1 Наименование и характеристики Товара</w:t>
      </w:r>
    </w:p>
    <w:tbl>
      <w:tblPr>
        <w:tblW w:w="543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72"/>
        <w:gridCol w:w="1260"/>
        <w:gridCol w:w="1614"/>
        <w:gridCol w:w="6434"/>
        <w:gridCol w:w="631"/>
      </w:tblGrid>
      <w:tr w:rsidR="00584F14" w:rsidRPr="006569BA" w:rsidTr="009C3A5A">
        <w:trPr>
          <w:trHeight w:val="140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569B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6569BA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569BA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584F14" w:rsidRPr="006569BA" w:rsidRDefault="00584F14" w:rsidP="009C3A5A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569BA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6569BA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569BA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Характеристики объекта закупки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Кол-во, ед. измерения-шт.</w:t>
            </w:r>
          </w:p>
        </w:tc>
      </w:tr>
      <w:tr w:rsidR="00584F14" w:rsidRPr="006569BA" w:rsidTr="009C3A5A">
        <w:trPr>
          <w:trHeight w:val="17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584F14" w:rsidRPr="006569BA" w:rsidTr="009C3A5A">
        <w:trPr>
          <w:trHeight w:val="181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Аппарат слуховой заушный воздушной проводимости КТРУ: 26.60.14.120-00000004 ОКПД</w:t>
            </w:r>
            <w:proofErr w:type="gramStart"/>
            <w:r w:rsidRPr="006569BA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6569BA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26.60.14.120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Arial Unicode MS"/>
                <w:sz w:val="18"/>
                <w:szCs w:val="18"/>
                <w:lang w:eastAsia="hi-IN" w:bidi="hi-IN"/>
              </w:rPr>
              <w:t>Слуховой аппарат цифровой заушный сверхмощный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2. Максимальный ВУЗД 90 слуховых аппаратов сверхмощных должен быть от 136 до 141 дБ.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3. Максимальное усиление не менее 78 дБ.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В комплект поставки должны входить: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- индивидуальный ушной вкладыш для слухового аппарата;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- элемент питания.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104</w:t>
            </w:r>
          </w:p>
        </w:tc>
      </w:tr>
      <w:tr w:rsidR="00584F14" w:rsidRPr="006569BA" w:rsidTr="009C3A5A">
        <w:trPr>
          <w:trHeight w:val="84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Аппарат слуховой заушный воздушной проводимости КТРУ: 26.60.14.120-00000004 ОКПД</w:t>
            </w:r>
            <w:proofErr w:type="gramStart"/>
            <w:r w:rsidRPr="006569BA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6569BA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26.60.14.120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Arial Unicode MS"/>
                <w:sz w:val="18"/>
                <w:szCs w:val="18"/>
                <w:lang w:eastAsia="hi-IN" w:bidi="hi-IN"/>
              </w:rPr>
            </w:pPr>
            <w:r w:rsidRPr="006569BA">
              <w:rPr>
                <w:rFonts w:eastAsia="Arial Unicode MS"/>
                <w:sz w:val="18"/>
                <w:szCs w:val="18"/>
                <w:lang w:eastAsia="hi-IN" w:bidi="hi-IN"/>
              </w:rPr>
              <w:t>Слуховой аппарат цифровой заушный мощный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2. Максимальное усиление не менее 61 дБ.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3. Максимальный ВУЗД 90 слуховых аппаратов мощных должен быть не более 134 дБ.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В комплект поставки должны входить: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-  индивидуальный ушной вкладыш для слухового аппарата;</w:t>
            </w:r>
          </w:p>
          <w:p w:rsidR="00584F14" w:rsidRPr="006569BA" w:rsidRDefault="00584F14" w:rsidP="009C3A5A">
            <w:pPr>
              <w:autoSpaceDE w:val="0"/>
              <w:autoSpaceDN w:val="0"/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bCs/>
                <w:sz w:val="18"/>
                <w:szCs w:val="18"/>
                <w:lang w:eastAsia="en-US"/>
              </w:rPr>
              <w:t>- элемент питания.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</w:tr>
      <w:tr w:rsidR="00584F14" w:rsidRPr="006569BA" w:rsidTr="009C3A5A">
        <w:trPr>
          <w:trHeight w:val="246"/>
        </w:trPr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widowControl w:val="0"/>
              <w:snapToGrid w:val="0"/>
              <w:spacing w:line="276" w:lineRule="auto"/>
              <w:ind w:hanging="24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4" w:rsidRPr="006569BA" w:rsidRDefault="00584F14" w:rsidP="009C3A5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9BA">
              <w:rPr>
                <w:rFonts w:eastAsia="Calibri"/>
                <w:sz w:val="18"/>
                <w:szCs w:val="18"/>
                <w:lang w:eastAsia="en-US"/>
              </w:rPr>
              <w:t>214</w:t>
            </w:r>
          </w:p>
        </w:tc>
      </w:tr>
    </w:tbl>
    <w:p w:rsidR="00584F14" w:rsidRPr="006569BA" w:rsidRDefault="00584F14" w:rsidP="00584F14">
      <w:pPr>
        <w:suppressAutoHyphens/>
        <w:autoSpaceDE w:val="0"/>
        <w:spacing w:line="200" w:lineRule="atLeast"/>
        <w:jc w:val="both"/>
        <w:rPr>
          <w:b/>
          <w:sz w:val="22"/>
          <w:szCs w:val="22"/>
          <w:lang w:eastAsia="ar-SA"/>
        </w:rPr>
      </w:pPr>
    </w:p>
    <w:p w:rsidR="00584F14" w:rsidRPr="006569BA" w:rsidRDefault="00584F14" w:rsidP="00584F14">
      <w:pPr>
        <w:keepNext/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proofErr w:type="gramStart"/>
      <w:r w:rsidRPr="006569BA">
        <w:rPr>
          <w:rFonts w:eastAsia="Calibri"/>
          <w:bCs/>
          <w:lang w:eastAsia="en-US"/>
        </w:rPr>
        <w:t xml:space="preserve">Услуги по индивидуальному </w:t>
      </w:r>
      <w:proofErr w:type="spellStart"/>
      <w:r w:rsidRPr="006569BA">
        <w:rPr>
          <w:rFonts w:eastAsia="Calibri"/>
          <w:bCs/>
          <w:lang w:eastAsia="en-US"/>
        </w:rPr>
        <w:t>слухопротезированию</w:t>
      </w:r>
      <w:proofErr w:type="spellEnd"/>
      <w:r w:rsidRPr="006569BA">
        <w:rPr>
          <w:rFonts w:eastAsia="Calibri"/>
          <w:bCs/>
          <w:lang w:eastAsia="en-US"/>
        </w:rPr>
        <w:t xml:space="preserve"> инвалидов Брянской области должны быть оказаны при наличии действующей  лицензии на осуществление медицинской деятельности по </w:t>
      </w:r>
      <w:proofErr w:type="spellStart"/>
      <w:r w:rsidRPr="006569BA">
        <w:rPr>
          <w:rFonts w:eastAsia="Calibri"/>
          <w:bCs/>
          <w:lang w:eastAsia="en-US"/>
        </w:rPr>
        <w:t>сурдологии</w:t>
      </w:r>
      <w:proofErr w:type="spellEnd"/>
      <w:r w:rsidRPr="006569BA">
        <w:rPr>
          <w:rFonts w:eastAsia="Calibri"/>
          <w:bCs/>
          <w:lang w:eastAsia="en-US"/>
        </w:rPr>
        <w:t xml:space="preserve">-оториноларингологии в соответствии с приказами Министерства здравоохранения РФ от 09 апреля </w:t>
      </w:r>
      <w:smartTag w:uri="urn:schemas-microsoft-com:office:smarttags" w:element="metricconverter">
        <w:smartTagPr>
          <w:attr w:name="ProductID" w:val="2015 г"/>
        </w:smartTagPr>
        <w:r w:rsidRPr="006569BA">
          <w:rPr>
            <w:rFonts w:eastAsia="Calibri"/>
            <w:bCs/>
            <w:lang w:eastAsia="en-US"/>
          </w:rPr>
          <w:t>2015 г</w:t>
        </w:r>
      </w:smartTag>
      <w:r w:rsidRPr="006569BA">
        <w:rPr>
          <w:rFonts w:eastAsia="Calibri"/>
          <w:bCs/>
          <w:lang w:eastAsia="en-US"/>
        </w:rPr>
        <w:t>. № 178н «Об утверждении порядка оказания медицинской помощи населению по профилю «</w:t>
      </w:r>
      <w:proofErr w:type="spellStart"/>
      <w:r w:rsidRPr="006569BA">
        <w:rPr>
          <w:rFonts w:eastAsia="Calibri"/>
          <w:bCs/>
          <w:lang w:eastAsia="en-US"/>
        </w:rPr>
        <w:t>сурдология</w:t>
      </w:r>
      <w:proofErr w:type="spellEnd"/>
      <w:r w:rsidRPr="006569BA">
        <w:rPr>
          <w:rFonts w:eastAsia="Calibri"/>
          <w:bCs/>
          <w:lang w:eastAsia="en-US"/>
        </w:rPr>
        <w:t xml:space="preserve">-оториноларингология» и от 12 ноября </w:t>
      </w:r>
      <w:smartTag w:uri="urn:schemas-microsoft-com:office:smarttags" w:element="metricconverter">
        <w:smartTagPr>
          <w:attr w:name="ProductID" w:val="2012 г"/>
        </w:smartTagPr>
        <w:r w:rsidRPr="006569BA">
          <w:rPr>
            <w:rFonts w:eastAsia="Calibri"/>
            <w:bCs/>
            <w:lang w:eastAsia="en-US"/>
          </w:rPr>
          <w:t>2012 г</w:t>
        </w:r>
      </w:smartTag>
      <w:r w:rsidRPr="006569BA">
        <w:rPr>
          <w:rFonts w:eastAsia="Calibri"/>
          <w:bCs/>
          <w:lang w:eastAsia="en-US"/>
        </w:rPr>
        <w:t>. № 905н «Об утверждении порядка оказания медицинской помощи населению по профилю оториноларингология».</w:t>
      </w:r>
      <w:r w:rsidRPr="006569BA">
        <w:rPr>
          <w:rFonts w:eastAsia="Calibri"/>
          <w:lang w:eastAsia="en-US"/>
        </w:rPr>
        <w:t xml:space="preserve"> </w:t>
      </w:r>
      <w:proofErr w:type="gramEnd"/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lastRenderedPageBreak/>
        <w:t xml:space="preserve">Услуги по индивидуальному </w:t>
      </w:r>
      <w:proofErr w:type="spellStart"/>
      <w:r w:rsidRPr="006569BA">
        <w:rPr>
          <w:rFonts w:eastAsia="Calibri"/>
          <w:bCs/>
          <w:lang w:eastAsia="en-US"/>
        </w:rPr>
        <w:t>слухопротезированию</w:t>
      </w:r>
      <w:proofErr w:type="spellEnd"/>
      <w:r w:rsidRPr="006569BA">
        <w:rPr>
          <w:rFonts w:eastAsia="Calibri"/>
          <w:bCs/>
          <w:lang w:eastAsia="en-US"/>
        </w:rPr>
        <w:t xml:space="preserve"> инвалидов Брянской области должны включать:  прием врача </w:t>
      </w:r>
      <w:proofErr w:type="spellStart"/>
      <w:r w:rsidRPr="006569BA">
        <w:rPr>
          <w:rFonts w:eastAsia="Calibri"/>
          <w:bCs/>
          <w:lang w:eastAsia="en-US"/>
        </w:rPr>
        <w:t>сурдолога-оториноларинголога</w:t>
      </w:r>
      <w:proofErr w:type="spellEnd"/>
      <w:r w:rsidRPr="006569BA">
        <w:rPr>
          <w:rFonts w:eastAsia="Calibri"/>
          <w:bCs/>
          <w:lang w:eastAsia="en-US"/>
        </w:rPr>
        <w:t xml:space="preserve">, принятие врачом </w:t>
      </w:r>
      <w:proofErr w:type="spellStart"/>
      <w:r w:rsidRPr="006569BA">
        <w:rPr>
          <w:rFonts w:eastAsia="Calibri"/>
          <w:bCs/>
          <w:lang w:eastAsia="en-US"/>
        </w:rPr>
        <w:t>сурдологом-оториноларингологом</w:t>
      </w:r>
      <w:proofErr w:type="spellEnd"/>
      <w:r w:rsidRPr="006569BA">
        <w:rPr>
          <w:rFonts w:eastAsia="Calibri"/>
          <w:bCs/>
          <w:lang w:eastAsia="en-US"/>
        </w:rPr>
        <w:t xml:space="preserve"> решения о возможности </w:t>
      </w:r>
      <w:proofErr w:type="spellStart"/>
      <w:r w:rsidRPr="006569BA">
        <w:rPr>
          <w:rFonts w:eastAsia="Calibri"/>
          <w:bCs/>
          <w:lang w:eastAsia="en-US"/>
        </w:rPr>
        <w:t>слухопротезирования</w:t>
      </w:r>
      <w:proofErr w:type="spellEnd"/>
      <w:r w:rsidRPr="006569BA">
        <w:rPr>
          <w:rFonts w:eastAsia="Calibri"/>
          <w:bCs/>
          <w:lang w:eastAsia="en-US"/>
        </w:rPr>
        <w:t xml:space="preserve"> или наличия противопоказаний к </w:t>
      </w:r>
      <w:proofErr w:type="spellStart"/>
      <w:r w:rsidRPr="006569BA">
        <w:rPr>
          <w:rFonts w:eastAsia="Calibri"/>
          <w:bCs/>
          <w:lang w:eastAsia="en-US"/>
        </w:rPr>
        <w:t>слухопротезированию</w:t>
      </w:r>
      <w:proofErr w:type="spellEnd"/>
      <w:r w:rsidRPr="006569BA">
        <w:rPr>
          <w:rFonts w:eastAsia="Calibri"/>
          <w:bCs/>
          <w:lang w:eastAsia="en-US"/>
        </w:rPr>
        <w:t xml:space="preserve"> на момент обращения инвалида, отоскопию уха и снятие слепков ушного канала для изготовления и выдачи индивидуального ушного вкладыша, индивидуальный подбор, настройку и выдачу слухового аппарата (далее – прибор, товар), обучение пациента правилам </w:t>
      </w:r>
      <w:proofErr w:type="gramStart"/>
      <w:r w:rsidRPr="006569BA">
        <w:rPr>
          <w:rFonts w:eastAsia="Calibri"/>
          <w:bCs/>
          <w:lang w:eastAsia="en-US"/>
        </w:rPr>
        <w:t>пользования</w:t>
      </w:r>
      <w:proofErr w:type="gramEnd"/>
      <w:r w:rsidRPr="006569BA">
        <w:rPr>
          <w:rFonts w:eastAsia="Calibri"/>
          <w:bCs/>
          <w:lang w:eastAsia="en-US"/>
        </w:rPr>
        <w:t xml:space="preserve"> выданным прибором, замену неисправного и/или бракованного прибора в период оказания услуги и в период гарантийного срока на прибор, настройку прибора, выданного взамен бракованного прибора, коррекцию настроек прибора в период гарантийного срока (при необходимости).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Индивидуальные ушные вкладыши должны соответствовать следующим требованиям: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Ушные вкладыши индивидуального изготовления должны изготавливаться по индивидуальному слепку. Материалы, используемые для изготовления ушных вкладышей, должны отвечать требованиям безопасности. Материал не должен образовывать воздушных пузырьков и не должен вызывать аллергических реакций.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Форма ушного вкладыша должна определяться индивидуально в зависимости от степени снижения слуха, особенностей слухового прохода, модели используемого слухового аппарата.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По форме и размеру ушные вкладыши должны полностью соответствовать анатомии уха и способствовать улучшению разборчивости речи по сравнению со стандартными ушными вкладышами.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</w:r>
    </w:p>
    <w:p w:rsidR="00584F14" w:rsidRPr="006569BA" w:rsidRDefault="00584F14" w:rsidP="00584F14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alibri"/>
          <w:iCs/>
          <w:lang w:eastAsia="ar-SA"/>
        </w:rPr>
      </w:pPr>
      <w:proofErr w:type="gramStart"/>
      <w:r w:rsidRPr="006569BA">
        <w:rPr>
          <w:rFonts w:eastAsia="Calibri"/>
          <w:iCs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84F14" w:rsidRPr="006569BA" w:rsidRDefault="00584F14" w:rsidP="00584F14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alibri"/>
          <w:iCs/>
          <w:lang w:eastAsia="ar-SA"/>
        </w:rPr>
      </w:pPr>
      <w:r w:rsidRPr="006569BA">
        <w:rPr>
          <w:rFonts w:eastAsia="Calibri"/>
          <w:bCs/>
          <w:iCs/>
          <w:lang w:val="x-none" w:eastAsia="ar-SA"/>
        </w:rPr>
        <w:t>Слуховые аппараты должны соответствовать требованиям ГОСТ Р 50444-92 (Разд. 3,4) "Приборы, аппараты и оборудование медицинские. Общие технические условия"</w:t>
      </w:r>
      <w:r w:rsidRPr="006569BA">
        <w:rPr>
          <w:rFonts w:eastAsia="Calibri"/>
          <w:bCs/>
          <w:iCs/>
          <w:lang w:eastAsia="ar-SA"/>
        </w:rPr>
        <w:t xml:space="preserve"> </w:t>
      </w:r>
      <w:r w:rsidRPr="006569BA">
        <w:rPr>
          <w:rFonts w:eastAsia="Calibri"/>
          <w:iCs/>
          <w:sz w:val="22"/>
          <w:szCs w:val="22"/>
          <w:lang w:eastAsia="ar-SA"/>
        </w:rPr>
        <w:t>или иным ГОСТ и ТУ к которым присоединился участник закупки.</w:t>
      </w:r>
    </w:p>
    <w:p w:rsidR="00584F14" w:rsidRPr="006569BA" w:rsidRDefault="00584F14" w:rsidP="00584F14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Исполнитель должен гарантировать соответствие слуховых аппаратов требованиям ГОСТов, и иным нормативным  документам, действующим на территории  России.</w:t>
      </w:r>
    </w:p>
    <w:p w:rsidR="00584F14" w:rsidRPr="006569BA" w:rsidRDefault="00584F14" w:rsidP="00584F14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584F14" w:rsidRPr="006569BA" w:rsidRDefault="00584F14" w:rsidP="00584F14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Материалы, из которых изготавливаются слуховые аппараты не должны выделять токсичных веще</w:t>
      </w:r>
      <w:proofErr w:type="gramStart"/>
      <w:r w:rsidRPr="006569BA">
        <w:rPr>
          <w:rFonts w:eastAsia="Calibri"/>
          <w:bCs/>
          <w:lang w:eastAsia="en-US"/>
        </w:rPr>
        <w:t>ств пр</w:t>
      </w:r>
      <w:proofErr w:type="gramEnd"/>
      <w:r w:rsidRPr="006569BA">
        <w:rPr>
          <w:rFonts w:eastAsia="Calibri"/>
          <w:bCs/>
          <w:lang w:eastAsia="en-US"/>
        </w:rPr>
        <w:t xml:space="preserve">и эксплуатации. </w:t>
      </w:r>
    </w:p>
    <w:p w:rsidR="00584F14" w:rsidRPr="006569BA" w:rsidRDefault="00584F14" w:rsidP="00584F14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t>Слуховые аппараты являются изделиями медицинского назначения в связи, с чем наличие действующих регистрационных удостоверений и сертификатов или деклараций о соответствии в случае, если товар подлежит обязательной сертификации или декларации в соответствии с действующим законодательством России,  являются обязательным.</w:t>
      </w:r>
    </w:p>
    <w:p w:rsidR="00584F14" w:rsidRPr="006569BA" w:rsidRDefault="00584F14" w:rsidP="00584F14">
      <w:pPr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 w:rsidRPr="006569BA">
        <w:rPr>
          <w:rFonts w:eastAsia="Calibri"/>
          <w:b/>
          <w:bCs/>
          <w:lang w:eastAsia="en-US"/>
        </w:rPr>
        <w:t>- требование к упаковке.</w:t>
      </w:r>
    </w:p>
    <w:p w:rsidR="00584F14" w:rsidRPr="006569BA" w:rsidRDefault="00584F14" w:rsidP="00584F14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6569BA">
        <w:rPr>
          <w:rFonts w:eastAsia="Calibri"/>
          <w:bCs/>
          <w:lang w:eastAsia="en-US"/>
        </w:rPr>
        <w:lastRenderedPageBreak/>
        <w:t xml:space="preserve"> Упаковка товара должна обеспечивать защиту от повреждений, порчи (изнашивания) или загрязнения во время хранения и транспортирования  к месту пользования по назначению.</w:t>
      </w:r>
    </w:p>
    <w:p w:rsidR="00584F14" w:rsidRPr="00460847" w:rsidRDefault="00584F14" w:rsidP="00584F14">
      <w:pPr>
        <w:widowControl w:val="0"/>
        <w:suppressAutoHyphens/>
        <w:ind w:right="-1" w:firstLine="709"/>
        <w:jc w:val="both"/>
        <w:rPr>
          <w:rFonts w:eastAsia="Arial Unicode MS"/>
          <w:b/>
          <w:bCs/>
          <w:lang w:eastAsia="hi-IN" w:bidi="hi-IN"/>
        </w:rPr>
      </w:pPr>
      <w:r w:rsidRPr="00460847">
        <w:rPr>
          <w:rFonts w:eastAsia="Arial Unicode MS"/>
          <w:b/>
          <w:bCs/>
          <w:lang w:eastAsia="hi-IN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</w:p>
    <w:p w:rsidR="00584F14" w:rsidRPr="001F43F3" w:rsidRDefault="00584F14" w:rsidP="00584F14">
      <w:pPr>
        <w:widowControl w:val="0"/>
        <w:suppressAutoHyphens/>
        <w:ind w:right="-1" w:firstLine="709"/>
        <w:jc w:val="both"/>
        <w:rPr>
          <w:rFonts w:eastAsia="Arial Unicode MS"/>
          <w:bCs/>
          <w:lang w:eastAsia="hi-IN" w:bidi="hi-IN"/>
        </w:rPr>
      </w:pPr>
      <w:r w:rsidRPr="001F43F3">
        <w:rPr>
          <w:rFonts w:eastAsia="Arial Unicode MS"/>
          <w:bCs/>
          <w:lang w:eastAsia="hi-IN" w:bidi="hi-IN"/>
        </w:rPr>
        <w:t>Гарантийный срок эксплуатации слуховых аппаратов - 12 месяцев с момента передачи его Получателю, при этом участник закупки может предложить Товар с гарантийным сроком, превышающим указанный срок.</w:t>
      </w:r>
    </w:p>
    <w:p w:rsidR="00584F14" w:rsidRPr="001F43F3" w:rsidRDefault="00584F14" w:rsidP="00584F14">
      <w:pPr>
        <w:widowControl w:val="0"/>
        <w:suppressAutoHyphens/>
        <w:ind w:right="-1"/>
        <w:jc w:val="both"/>
        <w:rPr>
          <w:rFonts w:eastAsia="Arial Unicode MS"/>
          <w:lang w:eastAsia="hi-IN" w:bidi="hi-IN"/>
        </w:rPr>
      </w:pPr>
      <w:r w:rsidRPr="001F43F3">
        <w:rPr>
          <w:rFonts w:eastAsia="Arial Unicode MS"/>
          <w:lang w:eastAsia="hi-IN" w:bidi="hi-IN"/>
        </w:rPr>
        <w:t>Техническое средство реабилитации должно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84F14" w:rsidRPr="001F43F3" w:rsidRDefault="00584F14" w:rsidP="00584F14">
      <w:pPr>
        <w:widowControl w:val="0"/>
        <w:suppressAutoHyphens/>
        <w:ind w:right="-1" w:firstLine="709"/>
        <w:jc w:val="both"/>
        <w:rPr>
          <w:rFonts w:eastAsia="Arial Unicode MS"/>
          <w:bCs/>
          <w:lang w:eastAsia="hi-IN" w:bidi="hi-IN"/>
        </w:rPr>
      </w:pPr>
      <w:r w:rsidRPr="001F43F3">
        <w:rPr>
          <w:rFonts w:eastAsia="Arial Unicode MS"/>
          <w:bCs/>
          <w:lang w:eastAsia="hi-IN" w:bidi="hi-IN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584F14" w:rsidRPr="001F43F3" w:rsidRDefault="00584F14" w:rsidP="00584F14">
      <w:pPr>
        <w:widowControl w:val="0"/>
        <w:suppressAutoHyphens/>
        <w:ind w:right="-1" w:firstLine="709"/>
        <w:jc w:val="both"/>
        <w:rPr>
          <w:rFonts w:eastAsia="Arial Unicode MS"/>
          <w:bCs/>
          <w:lang w:eastAsia="hi-IN" w:bidi="hi-IN"/>
        </w:rPr>
      </w:pPr>
      <w:r w:rsidRPr="001F43F3">
        <w:rPr>
          <w:rFonts w:eastAsia="Arial Unicode MS"/>
          <w:bCs/>
          <w:lang w:eastAsia="hi-IN" w:bidi="hi-IN"/>
        </w:rPr>
        <w:t>Гарантийный срок Товара не распространяется на случаи нарушения Получателем условий и требований к его эксплуатации.</w:t>
      </w:r>
    </w:p>
    <w:p w:rsidR="00584F14" w:rsidRPr="006B57E5" w:rsidRDefault="00584F14" w:rsidP="00584F14">
      <w:pPr>
        <w:widowControl w:val="0"/>
        <w:suppressAutoHyphens/>
        <w:ind w:right="-1"/>
        <w:jc w:val="both"/>
        <w:rPr>
          <w:lang w:eastAsia="ar-SA"/>
        </w:rPr>
      </w:pPr>
      <w:r>
        <w:rPr>
          <w:b/>
        </w:rPr>
        <w:t>1</w:t>
      </w:r>
      <w:r w:rsidRPr="006B57E5">
        <w:rPr>
          <w:b/>
        </w:rPr>
        <w:t xml:space="preserve">.3. </w:t>
      </w:r>
      <w:r w:rsidRPr="006B57E5">
        <w:rPr>
          <w:b/>
          <w:bCs/>
        </w:rPr>
        <w:t>Информация о количестве и месте доставки товара, являющегося предметом ко</w:t>
      </w:r>
      <w:r w:rsidRPr="006B57E5">
        <w:rPr>
          <w:b/>
          <w:bCs/>
        </w:rPr>
        <w:t>н</w:t>
      </w:r>
      <w:r w:rsidRPr="006B57E5">
        <w:rPr>
          <w:b/>
          <w:bCs/>
        </w:rPr>
        <w:t>тракта</w:t>
      </w:r>
      <w:r w:rsidRPr="006B57E5">
        <w:rPr>
          <w:b/>
        </w:rPr>
        <w:t>:</w:t>
      </w:r>
      <w:r w:rsidRPr="006B57E5">
        <w:rPr>
          <w:lang w:eastAsia="ar-SA"/>
        </w:rPr>
        <w:t xml:space="preserve"> </w:t>
      </w:r>
    </w:p>
    <w:p w:rsidR="00584F14" w:rsidRPr="00CE248D" w:rsidRDefault="00584F14" w:rsidP="00584F14">
      <w:pPr>
        <w:widowControl w:val="0"/>
        <w:suppressAutoHyphens/>
        <w:ind w:right="-1"/>
        <w:jc w:val="both"/>
        <w:rPr>
          <w:rFonts w:eastAsia="Arial Unicode MS"/>
          <w:lang w:eastAsia="hi-IN" w:bidi="hi-IN"/>
        </w:rPr>
      </w:pPr>
      <w:r w:rsidRPr="00CE248D">
        <w:rPr>
          <w:rFonts w:eastAsia="Arial Unicode MS"/>
          <w:lang w:eastAsia="hi-IN" w:bidi="hi-IN"/>
        </w:rPr>
        <w:t xml:space="preserve">Количество </w:t>
      </w:r>
      <w:bookmarkStart w:id="0" w:name="_GoBack"/>
      <w:bookmarkEnd w:id="0"/>
      <w:r w:rsidRPr="00CE248D">
        <w:rPr>
          <w:rFonts w:eastAsia="Arial Unicode MS"/>
          <w:lang w:eastAsia="hi-IN" w:bidi="hi-IN"/>
        </w:rPr>
        <w:t>— 214</w:t>
      </w:r>
      <w:r w:rsidRPr="00CE248D">
        <w:rPr>
          <w:rFonts w:eastAsia="Arial Unicode MS"/>
          <w:b/>
          <w:lang w:eastAsia="hi-IN" w:bidi="hi-IN"/>
        </w:rPr>
        <w:t xml:space="preserve"> </w:t>
      </w:r>
      <w:r w:rsidRPr="00CE248D">
        <w:rPr>
          <w:rFonts w:eastAsia="Arial Unicode MS"/>
          <w:lang w:eastAsia="hi-IN" w:bidi="hi-IN"/>
        </w:rPr>
        <w:t xml:space="preserve">шт. </w:t>
      </w:r>
    </w:p>
    <w:p w:rsidR="00584F14" w:rsidRPr="00CE248D" w:rsidRDefault="00584F14" w:rsidP="00584F14">
      <w:pPr>
        <w:widowControl w:val="0"/>
        <w:suppressAutoHyphens/>
        <w:ind w:right="-1"/>
        <w:jc w:val="both"/>
        <w:rPr>
          <w:rFonts w:eastAsia="Arial Unicode MS"/>
          <w:bCs/>
          <w:lang w:eastAsia="hi-IN" w:bidi="hi-IN"/>
        </w:rPr>
      </w:pPr>
      <w:r w:rsidRPr="00CE248D">
        <w:rPr>
          <w:rFonts w:eastAsia="Arial Unicode MS"/>
          <w:bCs/>
          <w:lang w:eastAsia="hi-IN" w:bidi="hi-IN"/>
        </w:rPr>
        <w:t xml:space="preserve">Поставка товара осуществляется по месту нахождения стационарного пункта приема (выдачи), организованного Поставщиком на территории г. Брянска.                    </w:t>
      </w:r>
    </w:p>
    <w:p w:rsidR="00584F14" w:rsidRPr="006B57E5" w:rsidRDefault="00584F14" w:rsidP="00584F14">
      <w:pPr>
        <w:widowControl w:val="0"/>
        <w:suppressAutoHyphens/>
        <w:ind w:right="-1"/>
        <w:jc w:val="both"/>
        <w:rPr>
          <w:rFonts w:eastAsia="Arial Unicode MS"/>
          <w:bCs/>
          <w:lang w:eastAsia="hi-IN" w:bidi="hi-IN"/>
        </w:rPr>
      </w:pPr>
      <w:r>
        <w:rPr>
          <w:b/>
          <w:bCs/>
        </w:rPr>
        <w:t>1</w:t>
      </w:r>
      <w:r w:rsidRPr="006B57E5">
        <w:rPr>
          <w:b/>
          <w:bCs/>
        </w:rPr>
        <w:t>.4. Сроки поставки товара:</w:t>
      </w:r>
      <w:r w:rsidRPr="004260B9">
        <w:rPr>
          <w:b/>
          <w:bCs/>
          <w:color w:val="FF0000"/>
        </w:rPr>
        <w:t xml:space="preserve"> </w:t>
      </w:r>
      <w:r>
        <w:rPr>
          <w:rFonts w:eastAsia="Arial Unicode MS"/>
          <w:bCs/>
          <w:lang w:eastAsia="hi-IN" w:bidi="hi-IN"/>
        </w:rPr>
        <w:t>с</w:t>
      </w:r>
      <w:r w:rsidRPr="006B57E5">
        <w:rPr>
          <w:rFonts w:eastAsia="Arial Unicode MS"/>
          <w:bCs/>
          <w:lang w:eastAsia="hi-IN" w:bidi="hi-IN"/>
        </w:rPr>
        <w:t>рок поставки Товара Получателям в течение 15 рабочих  дней от даты получения реестра Получателей от Заказчика, но не позднее 31 июля 2019 г.</w:t>
      </w:r>
    </w:p>
    <w:p w:rsidR="001573AD" w:rsidRDefault="001573AD"/>
    <w:sectPr w:rsidR="001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4"/>
    <w:rsid w:val="001573AD"/>
    <w:rsid w:val="005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4F14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4F14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Соколова Елена Викторовна</dc:creator>
  <cp:lastModifiedBy>3200 Соколова Елена Викторовна</cp:lastModifiedBy>
  <cp:revision>1</cp:revision>
  <dcterms:created xsi:type="dcterms:W3CDTF">2019-06-05T08:01:00Z</dcterms:created>
  <dcterms:modified xsi:type="dcterms:W3CDTF">2019-06-05T08:02:00Z</dcterms:modified>
</cp:coreProperties>
</file>