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7D" w:rsidRPr="00F253CB" w:rsidRDefault="0051667D" w:rsidP="0051667D">
      <w:pPr>
        <w:jc w:val="center"/>
        <w:rPr>
          <w:rFonts w:ascii="Times New Roman" w:hAnsi="Times New Roman"/>
          <w:sz w:val="24"/>
        </w:rPr>
      </w:pPr>
      <w:r w:rsidRPr="00F253CB">
        <w:rPr>
          <w:rFonts w:ascii="Times New Roman" w:hAnsi="Times New Roman"/>
          <w:sz w:val="24"/>
        </w:rPr>
        <w:t>Техническое задани</w:t>
      </w:r>
      <w:bookmarkStart w:id="0" w:name="_GoBack"/>
      <w:bookmarkEnd w:id="0"/>
      <w:r w:rsidRPr="00F253CB">
        <w:rPr>
          <w:rFonts w:ascii="Times New Roman" w:hAnsi="Times New Roman"/>
          <w:sz w:val="24"/>
        </w:rPr>
        <w:t>е</w:t>
      </w:r>
    </w:p>
    <w:p w:rsidR="00DE493E" w:rsidRDefault="000C5E03" w:rsidP="00933E45">
      <w:pPr>
        <w:jc w:val="center"/>
        <w:rPr>
          <w:rFonts w:ascii="Times New Roman" w:hAnsi="Times New Roman"/>
          <w:sz w:val="24"/>
        </w:rPr>
      </w:pPr>
      <w:r w:rsidRPr="000C5E03">
        <w:rPr>
          <w:rFonts w:ascii="Times New Roman" w:hAnsi="Times New Roman"/>
          <w:sz w:val="24"/>
        </w:rPr>
        <w:t xml:space="preserve">на поставку технических средств реабилитации мочеприемников, ремешков для крепления мочеприемников (мешков для сбора мочи) к </w:t>
      </w:r>
      <w:proofErr w:type="gramStart"/>
      <w:r w:rsidRPr="000C5E03">
        <w:rPr>
          <w:rFonts w:ascii="Times New Roman" w:hAnsi="Times New Roman"/>
          <w:sz w:val="24"/>
        </w:rPr>
        <w:t>ноге,  катетеров</w:t>
      </w:r>
      <w:proofErr w:type="gramEnd"/>
      <w:r w:rsidRPr="000C5E03">
        <w:rPr>
          <w:rFonts w:ascii="Times New Roman" w:hAnsi="Times New Roman"/>
          <w:sz w:val="24"/>
        </w:rPr>
        <w:t xml:space="preserve"> (мочеприемников прикроватных, мочеприемников ножных, ремешков для крепления мочеприемников ножных, наборов-мочеприемников для самокатетеризации, катетеров уретральных для длительного и постоянного пользования, катетеров для эпицистостомы, катетеров мочеточниковых для уретерокутанеостомы ) для обеспечения ими в 2019 году инвалидов</w:t>
      </w:r>
    </w:p>
    <w:p w:rsidR="00783907" w:rsidRPr="00F253CB" w:rsidRDefault="00783907" w:rsidP="00933E45">
      <w:pPr>
        <w:jc w:val="center"/>
        <w:rPr>
          <w:rFonts w:ascii="Times New Roman" w:hAnsi="Times New Roman"/>
          <w:sz w:val="24"/>
        </w:rPr>
      </w:pP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1134"/>
        <w:gridCol w:w="1134"/>
        <w:gridCol w:w="1843"/>
      </w:tblGrid>
      <w:tr w:rsidR="0051667D" w:rsidTr="000C5E03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Цена за единицу</w:t>
            </w:r>
          </w:p>
          <w:p w:rsidR="0051667D" w:rsidRPr="00967B52" w:rsidRDefault="0051667D" w:rsidP="00DE493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51667D" w:rsidRPr="00967B52" w:rsidRDefault="0051667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AD57FE" w:rsidRPr="00AA6476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783907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0C5E03"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AD57FE" w:rsidRDefault="000C5E03" w:rsidP="006650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Мочеприемник</w:t>
            </w:r>
            <w:proofErr w:type="gramEnd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 xml:space="preserve"> закрытый носимый, нестерильный</w:t>
            </w:r>
          </w:p>
          <w:p w:rsidR="00783907" w:rsidRDefault="00783907" w:rsidP="006650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83907" w:rsidRPr="00967B52" w:rsidRDefault="00783907" w:rsidP="006650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8E369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7B52">
              <w:rPr>
                <w:rFonts w:ascii="Times New Roman" w:hAnsi="Times New Roman"/>
                <w:sz w:val="22"/>
                <w:szCs w:val="22"/>
              </w:rPr>
              <w:t>Мочеприемник</w:t>
            </w:r>
            <w:proofErr w:type="gram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закрытый носимый, нестерильный (мочеприемник ножной (мешок для сбора мочи) дневной согласно Приказу Министерства труда и социальной защиты РФ от 13 февраля 2018 г. № 86н). Мешки для сбора мочи должны быть различных объемов (объемом в диапазоне от 0,5 л до 2,0 л по заявке заказчика в зависимости от потребностей Получателей) из прозрачного многослойного, не пропускающего запах полиэтилена, с мягкой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нетканной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подложкой,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антирефлюксным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клапаном, сливным клапаном, с отверстием для крепления ремешков, переходником для соединения с уропрезервативом, дренажная трубка регулируемой длины не менее 45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30719D" w:rsidP="00E465B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55,56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18 967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967B52" w:rsidRDefault="000C5E03" w:rsidP="0046362B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1 053 806,52</w:t>
            </w:r>
          </w:p>
        </w:tc>
      </w:tr>
      <w:tr w:rsidR="0051667D" w:rsidTr="000C5E03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907" w:rsidRPr="00967B52" w:rsidRDefault="00783907" w:rsidP="0078390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51667D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Мочеприемник</w:t>
            </w:r>
            <w:proofErr w:type="gramEnd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 xml:space="preserve"> закрытый </w:t>
            </w:r>
            <w:proofErr w:type="spellStart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неносимый</w:t>
            </w:r>
            <w:proofErr w:type="spellEnd"/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, нестерильный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0C5E03" w:rsidP="008E369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 xml:space="preserve">Мочеприемник закрытый неносимый, нестерильный (мочеприемник прикроватный (мешок для сбора мочи) ночной согласно Приказу Министерства труда и социальной защиты РФ от 13 февраля 2018 г. № 86н). Мешки должны быть различных объемов по заявке заказчика в зависимости от потребности Получателей из прозрачного многослойного, не пропускающего запах полиэтилена, с антирефлюксным клапаном, сливным клапаном, не допускающим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подтекания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>, универсальным переходником для соединения с уропрезервативом/ катетером, дренажная трубка регулируемой длины до 90 см.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30719D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45,56</w:t>
            </w:r>
          </w:p>
          <w:p w:rsidR="0051667D" w:rsidRPr="00967B52" w:rsidRDefault="0051667D" w:rsidP="0051667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667D" w:rsidRPr="00967B52" w:rsidRDefault="000C5E03" w:rsidP="00026C4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20 874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67D" w:rsidRPr="00967B52" w:rsidRDefault="000C5E03" w:rsidP="00026C4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951 019,44</w:t>
            </w:r>
          </w:p>
        </w:tc>
      </w:tr>
      <w:tr w:rsidR="00AD57FE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907" w:rsidRPr="00967B52" w:rsidRDefault="00783907" w:rsidP="0078390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AD57FE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Пара ремешков для крепления мочеприемников (мешков для сбора мочи) к ноге. Должны быть длиной не менее 55 см, регулироваться по длине, 2 шт.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871F3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97,42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3 335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967B52" w:rsidRDefault="000C5E03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324 895,70</w:t>
            </w:r>
          </w:p>
        </w:tc>
      </w:tr>
      <w:tr w:rsidR="00AD57FE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0C5E03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 xml:space="preserve">Набор   для самокатетеризации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0C5E0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 xml:space="preserve">Набор  для самокатетеризации должен состоять из мешка-мочеприемника, лубрицированного катетера для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самокатетеризации. Мешок-мочеприемник объемом не менее 700 мл. Катетер должен быть изготовлен из поливинилхлорида (ПВХ) и имеет на своей поверхности прочно зафиксированный гидрофильный лубрикант. Лубрикант до минимума снижает риск травматизации мочеиспускательного канала и присоединения инфекций. Длина катетера не менее 39 см с размером по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Шарьеру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10-14 включительно. Наконечник катетера должен быть прямой цилиндрический типа Нелатон с двумя боковыми отверстиями. Набор для самокатетеризации стерильный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432FAC" w:rsidP="00871F3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338,92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967B52" w:rsidP="00967B5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2322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967B52" w:rsidRDefault="00432FAC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786 972,24</w:t>
            </w:r>
          </w:p>
        </w:tc>
      </w:tr>
      <w:tr w:rsidR="00AD57FE" w:rsidRPr="00AA6476" w:rsidTr="000C5E03">
        <w:trPr>
          <w:trHeight w:val="1427"/>
        </w:trPr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907" w:rsidRPr="00967B52" w:rsidRDefault="00783907" w:rsidP="0078390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Наименование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AD57FE" w:rsidRPr="00967B52" w:rsidRDefault="000C5E03" w:rsidP="006650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Катетер уретральный постоянный для дренажа/промывания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 xml:space="preserve">Катетер уретральный постоянный для дренажа/промывания (катетер уретральный длительного пользования согласно Приказу Министерства труда и социальной защиты РФ от 13 февраля 2018 г. № 86н). Должен быть для длительной катетеризации мочевого пузыря, из латекса с силиконовым покрытием, стерильным, одноразовым. Катетеры различных типов размеров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6-30. Катетер </w:t>
            </w:r>
            <w:proofErr w:type="spellStart"/>
            <w:r w:rsidRPr="00967B52">
              <w:rPr>
                <w:rFonts w:ascii="Times New Roman" w:hAnsi="Times New Roman"/>
                <w:sz w:val="22"/>
                <w:szCs w:val="22"/>
              </w:rPr>
              <w:t>должетн</w:t>
            </w:r>
            <w:proofErr w:type="spellEnd"/>
            <w:r w:rsidRPr="00967B52">
              <w:rPr>
                <w:rFonts w:ascii="Times New Roman" w:hAnsi="Times New Roman"/>
                <w:sz w:val="22"/>
                <w:szCs w:val="22"/>
              </w:rPr>
              <w:t xml:space="preserve">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0C5E03" w:rsidP="00871F3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967B52" w:rsidRDefault="000C5E03" w:rsidP="006650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37 720,80</w:t>
            </w:r>
          </w:p>
        </w:tc>
      </w:tr>
      <w:tr w:rsidR="000C5E03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907" w:rsidRPr="00967B52" w:rsidRDefault="00783907" w:rsidP="0078390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Катетер уретральный постоянный для дренажа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Катетер уретральный постоянный для дренажа (катетер уретральный постоянного пользования  согласно Приказу Министерства труда и социальной защиты РФ от 13 февраля 2018 г. № 86н). Должен быть для постоянной катетеризации мочевого пузыря, из латекса с силиконовым покрытием, стерильным, одноразовым. Катетеры различных типов размеров. Катетер должен быть стерильным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61,09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03" w:rsidRPr="00967B52" w:rsidRDefault="00967B52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5 4</w:t>
            </w:r>
            <w:r w:rsidR="000C5E03" w:rsidRPr="00967B52">
              <w:rPr>
                <w:rFonts w:ascii="Times New Roman" w:hAnsi="Times New Roman"/>
                <w:sz w:val="22"/>
                <w:szCs w:val="22"/>
              </w:rPr>
              <w:t>37,01</w:t>
            </w:r>
          </w:p>
        </w:tc>
      </w:tr>
      <w:tr w:rsidR="000C5E03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0C5E03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Катетер для эпицистостомы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Катетер для эпицистостомы. Катетер для эпицистостомы должен быть из латекса, силикона, должен иметь плавные переходы в местах соединения, должен соединяться с любым видом мочеприемника. Катетеры различных типов размеров. Катетер должен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5 207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03" w:rsidRPr="00967B52" w:rsidRDefault="000C5E03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>237 543,34</w:t>
            </w:r>
          </w:p>
        </w:tc>
      </w:tr>
      <w:tr w:rsidR="000C5E03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3907" w:rsidRPr="00967B52" w:rsidRDefault="00783907" w:rsidP="0078390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t>по КТРУ:</w:t>
            </w:r>
          </w:p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>Катетер мочеточниковый общего назначения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t xml:space="preserve">Катетер мочеточниковый общего назначения (катетер мочеточниковый для уретерокутанеостомы согласно </w:t>
            </w:r>
            <w:r w:rsidRPr="00967B52">
              <w:rPr>
                <w:rFonts w:ascii="Times New Roman" w:hAnsi="Times New Roman"/>
                <w:sz w:val="22"/>
                <w:szCs w:val="22"/>
              </w:rPr>
              <w:lastRenderedPageBreak/>
              <w:t>Приказу Министерства труда и социальной защиты РФ от 13 февраля 2018 г. № 86н). Различных размеров. Катетер должен быть изготовлен из полимерного материала. Должен использоваться для отведения мочи через уретерокутанеостому. Должен иметь дистальные отверстия, овальный или круглый фланец для крепления к коже. Длина не менее 40 см. Различных типов. Катетер должен быть стерилен и должен находиться в индивидуальной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0C5E03" w:rsidP="00DE493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67B52">
              <w:rPr>
                <w:rFonts w:ascii="Times New Roman" w:hAnsi="Times New Roman"/>
                <w:sz w:val="22"/>
                <w:szCs w:val="22"/>
              </w:rPr>
              <w:lastRenderedPageBreak/>
              <w:t>3677,46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E03" w:rsidRPr="00967B52" w:rsidRDefault="00627AFF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E03" w:rsidRPr="00967B52" w:rsidRDefault="00627AFF" w:rsidP="00A27CE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599 425,98</w:t>
            </w:r>
          </w:p>
        </w:tc>
      </w:tr>
      <w:tr w:rsidR="00AD57FE" w:rsidTr="000C5E03">
        <w:tc>
          <w:tcPr>
            <w:tcW w:w="28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AD57FE" w:rsidP="00DE493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57FE" w:rsidRPr="00967B52" w:rsidRDefault="00967B52" w:rsidP="00627AFF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67B52">
              <w:rPr>
                <w:rFonts w:ascii="Times New Roman" w:hAnsi="Times New Roman"/>
                <w:b/>
                <w:sz w:val="22"/>
                <w:szCs w:val="22"/>
              </w:rPr>
              <w:t xml:space="preserve">51 </w:t>
            </w:r>
            <w:r w:rsidR="00627AFF">
              <w:rPr>
                <w:rFonts w:ascii="Times New Roman" w:hAnsi="Times New Roman"/>
                <w:b/>
                <w:sz w:val="22"/>
                <w:szCs w:val="22"/>
              </w:rPr>
              <w:t>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57FE" w:rsidRPr="00967B52" w:rsidRDefault="00D84DD7" w:rsidP="00627AFF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3 996 821,03</w:t>
            </w:r>
          </w:p>
        </w:tc>
      </w:tr>
    </w:tbl>
    <w:p w:rsidR="00C323A8" w:rsidRPr="00AD57FE" w:rsidRDefault="00C323A8" w:rsidP="00933E45">
      <w:pPr>
        <w:ind w:firstLine="708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46334D" w:rsidRPr="0046334D" w:rsidRDefault="00AD57FE" w:rsidP="00783907">
      <w:pPr>
        <w:ind w:left="-567" w:firstLine="567"/>
        <w:jc w:val="both"/>
        <w:rPr>
          <w:rFonts w:ascii="Times New Roman" w:hAnsi="Times New Roman"/>
          <w:sz w:val="24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967B52">
        <w:rPr>
          <w:rFonts w:ascii="Times New Roman" w:eastAsia="Times New Roman" w:hAnsi="Times New Roman"/>
          <w:kern w:val="0"/>
          <w:sz w:val="24"/>
          <w:lang w:eastAsia="ru-RU"/>
        </w:rPr>
        <w:t>М</w:t>
      </w:r>
      <w:r w:rsidR="00967B52">
        <w:rPr>
          <w:rFonts w:ascii="Times New Roman" w:hAnsi="Times New Roman"/>
          <w:sz w:val="24"/>
        </w:rPr>
        <w:t>очеприемники</w:t>
      </w:r>
      <w:r w:rsidR="00967B52" w:rsidRPr="000C5E03">
        <w:rPr>
          <w:rFonts w:ascii="Times New Roman" w:hAnsi="Times New Roman"/>
          <w:sz w:val="24"/>
        </w:rPr>
        <w:t>, ремешк</w:t>
      </w:r>
      <w:r w:rsidR="00967B52">
        <w:rPr>
          <w:rFonts w:ascii="Times New Roman" w:hAnsi="Times New Roman"/>
          <w:sz w:val="24"/>
        </w:rPr>
        <w:t>и</w:t>
      </w:r>
      <w:r w:rsidR="00967B52" w:rsidRPr="000C5E03">
        <w:rPr>
          <w:rFonts w:ascii="Times New Roman" w:hAnsi="Times New Roman"/>
          <w:sz w:val="24"/>
        </w:rPr>
        <w:t xml:space="preserve"> для крепления мочеприемников (мешков для сбора мочи) к ноге, катетер</w:t>
      </w:r>
      <w:r w:rsidR="00967B52">
        <w:rPr>
          <w:rFonts w:ascii="Times New Roman" w:hAnsi="Times New Roman"/>
          <w:sz w:val="24"/>
        </w:rPr>
        <w:t>ы</w:t>
      </w:r>
      <w:r w:rsidR="00967B52" w:rsidRPr="000C5E03">
        <w:rPr>
          <w:rFonts w:ascii="Times New Roman" w:hAnsi="Times New Roman"/>
          <w:sz w:val="24"/>
        </w:rPr>
        <w:t xml:space="preserve"> </w:t>
      </w:r>
      <w:r w:rsidR="00967B52">
        <w:rPr>
          <w:rFonts w:ascii="Times New Roman" w:eastAsia="Times New Roman" w:hAnsi="Times New Roman"/>
          <w:kern w:val="0"/>
          <w:sz w:val="24"/>
          <w:lang w:eastAsia="ru-RU"/>
        </w:rPr>
        <w:t>(</w:t>
      </w:r>
      <w:r w:rsidR="0046334D" w:rsidRPr="0046334D">
        <w:rPr>
          <w:rFonts w:ascii="Times New Roman" w:hAnsi="Times New Roman"/>
          <w:sz w:val="24"/>
        </w:rPr>
        <w:t>далее</w:t>
      </w:r>
      <w:r w:rsidR="00967B52">
        <w:rPr>
          <w:rFonts w:ascii="Times New Roman" w:hAnsi="Times New Roman"/>
          <w:sz w:val="24"/>
        </w:rPr>
        <w:t>-</w:t>
      </w:r>
      <w:r w:rsidR="0046334D" w:rsidRPr="0046334D">
        <w:rPr>
          <w:rFonts w:ascii="Times New Roman" w:hAnsi="Times New Roman"/>
          <w:sz w:val="24"/>
        </w:rPr>
        <w:t>с</w:t>
      </w:r>
      <w:r w:rsidR="0046334D" w:rsidRPr="0046334D">
        <w:rPr>
          <w:rFonts w:ascii="Times New Roman" w:eastAsia="Times New Roman" w:hAnsi="Times New Roman"/>
          <w:kern w:val="0"/>
          <w:sz w:val="24"/>
          <w:lang w:eastAsia="ru-RU"/>
        </w:rPr>
        <w:t>пециальные средства при нарушении функций выделения</w:t>
      </w:r>
      <w:r w:rsidR="00967B52">
        <w:rPr>
          <w:rFonts w:ascii="Times New Roman" w:eastAsia="Times New Roman" w:hAnsi="Times New Roman"/>
          <w:kern w:val="0"/>
          <w:sz w:val="24"/>
          <w:lang w:eastAsia="ru-RU"/>
        </w:rPr>
        <w:t>)</w:t>
      </w:r>
      <w:r w:rsidR="0046334D" w:rsidRPr="0046334D">
        <w:rPr>
          <w:rFonts w:ascii="Times New Roman" w:hAnsi="Times New Roman"/>
          <w:sz w:val="24"/>
        </w:rPr>
        <w:t>.</w:t>
      </w:r>
    </w:p>
    <w:p w:rsidR="0046334D" w:rsidRPr="00967B52" w:rsidRDefault="0046334D" w:rsidP="00783907">
      <w:pPr>
        <w:ind w:left="-567" w:firstLine="567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967B52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Требования к качеству товара.</w:t>
      </w:r>
    </w:p>
    <w:p w:rsidR="00830C87" w:rsidRPr="00AD57FE" w:rsidRDefault="0046334D" w:rsidP="00783907">
      <w:pPr>
        <w:widowControl/>
        <w:suppressAutoHyphens w:val="0"/>
        <w:ind w:left="-567" w:firstLine="567"/>
        <w:jc w:val="both"/>
        <w:rPr>
          <w:rFonts w:ascii="Times New Roman" w:hAnsi="Times New Roman"/>
          <w:sz w:val="24"/>
        </w:rPr>
      </w:pPr>
      <w:r w:rsidRPr="0046334D">
        <w:rPr>
          <w:rFonts w:ascii="Times New Roman" w:eastAsia="Times New Roman" w:hAnsi="Times New Roman"/>
          <w:kern w:val="0"/>
          <w:sz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  <w:r>
        <w:rPr>
          <w:rFonts w:ascii="Times New Roman" w:hAnsi="Times New Roman"/>
          <w:sz w:val="24"/>
        </w:rPr>
        <w:t xml:space="preserve"> </w:t>
      </w:r>
    </w:p>
    <w:p w:rsidR="0051667D" w:rsidRPr="00967B52" w:rsidRDefault="0051667D" w:rsidP="00783907">
      <w:pPr>
        <w:widowControl/>
        <w:suppressAutoHyphens w:val="0"/>
        <w:ind w:left="-567" w:firstLine="567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967B52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Т</w:t>
      </w:r>
      <w:r w:rsidR="00830C87" w:rsidRPr="00967B52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ребования к безопасности товара.</w:t>
      </w:r>
    </w:p>
    <w:p w:rsidR="00E327F1" w:rsidRPr="00E327F1" w:rsidRDefault="0051667D" w:rsidP="00783907">
      <w:pPr>
        <w:widowControl/>
        <w:suppressAutoHyphens w:val="0"/>
        <w:spacing w:line="200" w:lineRule="atLeast"/>
        <w:ind w:left="-567" w:firstLine="709"/>
        <w:jc w:val="both"/>
        <w:rPr>
          <w:rFonts w:ascii="Times New Roman" w:hAnsi="Times New Roman"/>
          <w:sz w:val="24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</w:t>
      </w:r>
      <w:r w:rsidR="002D13B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D13B5" w:rsidRPr="00CF6359">
        <w:rPr>
          <w:rFonts w:ascii="Times New Roman" w:hAnsi="Times New Roman"/>
          <w:spacing w:val="-1"/>
          <w:sz w:val="24"/>
        </w:rPr>
        <w:t>ГОСТ ИСО 10993-1-2011</w:t>
      </w:r>
      <w:r w:rsidR="002D13B5" w:rsidRPr="00CF6359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F67D7A">
        <w:rPr>
          <w:rFonts w:ascii="Times New Roman" w:hAnsi="Times New Roman"/>
          <w:sz w:val="24"/>
        </w:rPr>
        <w:t>ГОСТ ИСО 10993-</w:t>
      </w:r>
      <w:r w:rsidR="00E327F1" w:rsidRPr="00E327F1">
        <w:rPr>
          <w:rFonts w:ascii="Times New Roman" w:hAnsi="Times New Roman"/>
          <w:sz w:val="24"/>
        </w:rPr>
        <w:t>5-2011 «Изделия медицинские. Оценка биологического действия медицинских изделий. Часть 5. Исследования на цитотоксичность: м</w:t>
      </w:r>
      <w:r w:rsidR="00F67D7A">
        <w:rPr>
          <w:rFonts w:ascii="Times New Roman" w:hAnsi="Times New Roman"/>
          <w:sz w:val="24"/>
        </w:rPr>
        <w:t>етоды in vitro», ГОСТ ИСО 10993-</w:t>
      </w:r>
      <w:r w:rsidR="00E327F1" w:rsidRPr="00E327F1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46362B">
        <w:rPr>
          <w:rFonts w:ascii="Times New Roman" w:hAnsi="Times New Roman"/>
          <w:sz w:val="24"/>
        </w:rPr>
        <w:t>16</w:t>
      </w:r>
      <w:r w:rsidR="00E327F1" w:rsidRPr="00E327F1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1667D" w:rsidRPr="00E327F1" w:rsidRDefault="0051667D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</w:t>
      </w:r>
    </w:p>
    <w:p w:rsidR="0051667D" w:rsidRPr="00E327F1" w:rsidRDefault="0051667D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51667D" w:rsidRPr="00AD57FE" w:rsidRDefault="0051667D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327F1">
        <w:rPr>
          <w:rFonts w:ascii="Times New Roman" w:eastAsia="Times New Roman" w:hAnsi="Times New Roman"/>
          <w:kern w:val="0"/>
          <w:sz w:val="24"/>
          <w:lang w:eastAsia="ru-RU"/>
        </w:rPr>
        <w:t>Упаковка</w:t>
      </w: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1667D" w:rsidRPr="00AD57FE" w:rsidRDefault="00671853" w:rsidP="00783907">
      <w:pPr>
        <w:keepLines/>
        <w:tabs>
          <w:tab w:val="left" w:pos="708"/>
        </w:tabs>
        <w:ind w:left="-567" w:firstLine="709"/>
        <w:jc w:val="both"/>
        <w:rPr>
          <w:rFonts w:ascii="Times New Roman" w:hAnsi="Times New Roman"/>
          <w:sz w:val="24"/>
        </w:rPr>
      </w:pPr>
      <w:r w:rsidRPr="00AD57FE">
        <w:rPr>
          <w:rFonts w:ascii="Times New Roman" w:hAnsi="Times New Roman"/>
          <w:sz w:val="24"/>
        </w:rPr>
        <w:t xml:space="preserve">   </w:t>
      </w:r>
      <w:r w:rsidR="00830C87" w:rsidRPr="00AD57FE">
        <w:rPr>
          <w:rFonts w:ascii="Times New Roman" w:hAnsi="Times New Roman"/>
          <w:sz w:val="24"/>
        </w:rPr>
        <w:t xml:space="preserve">Маркировка </w:t>
      </w:r>
      <w:r w:rsidR="0051667D" w:rsidRPr="00AD57FE">
        <w:rPr>
          <w:rFonts w:ascii="Times New Roman" w:hAnsi="Times New Roman"/>
          <w:sz w:val="24"/>
        </w:rPr>
        <w:t>упаковки специальных средств при нарушениях функций выделения должна включать: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страну-изготовителя;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номер артикула (при наличии);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количество изделий в упаковке;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да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ту (месяц, год) изготовления и</w:t>
      </w: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срок 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годности;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правила использования (при необходимости);</w:t>
      </w:r>
    </w:p>
    <w:p w:rsidR="00453127" w:rsidRPr="00AD57FE" w:rsidRDefault="00453127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>- штри</w:t>
      </w:r>
      <w:r w:rsidR="00933E45" w:rsidRPr="00AD57FE">
        <w:rPr>
          <w:rFonts w:ascii="Times New Roman" w:eastAsia="Times New Roman" w:hAnsi="Times New Roman"/>
          <w:kern w:val="0"/>
          <w:sz w:val="24"/>
          <w:lang w:eastAsia="ru-RU"/>
        </w:rPr>
        <w:t>ховой код изделия (при наличии).</w:t>
      </w:r>
    </w:p>
    <w:p w:rsidR="00830C87" w:rsidRPr="00AD57FE" w:rsidRDefault="00671853" w:rsidP="00783907">
      <w:pPr>
        <w:widowControl/>
        <w:suppressAutoHyphens w:val="0"/>
        <w:ind w:left="-567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D57FE">
        <w:rPr>
          <w:rFonts w:ascii="Times New Roman" w:hAnsi="Times New Roman"/>
          <w:sz w:val="24"/>
        </w:rPr>
        <w:lastRenderedPageBreak/>
        <w:t xml:space="preserve">   </w:t>
      </w:r>
      <w:r w:rsidR="00830C87" w:rsidRPr="00967B52">
        <w:rPr>
          <w:rFonts w:ascii="Times New Roman" w:hAnsi="Times New Roman"/>
          <w:b/>
          <w:sz w:val="24"/>
        </w:rPr>
        <w:t>Сроки гарантии</w:t>
      </w:r>
      <w:r w:rsidR="00830C87" w:rsidRPr="00AD57FE">
        <w:rPr>
          <w:rFonts w:ascii="Times New Roman" w:hAnsi="Times New Roman"/>
          <w:sz w:val="24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671853" w:rsidRPr="0046362B" w:rsidRDefault="0051667D" w:rsidP="00783907">
      <w:pPr>
        <w:ind w:left="-567" w:firstLine="709"/>
        <w:jc w:val="both"/>
        <w:rPr>
          <w:sz w:val="24"/>
        </w:rPr>
      </w:pPr>
      <w:r w:rsidRPr="00967B52">
        <w:rPr>
          <w:rFonts w:ascii="Times New Roman" w:eastAsia="Times New Roman" w:hAnsi="Times New Roman"/>
          <w:b/>
          <w:kern w:val="0"/>
          <w:sz w:val="24"/>
          <w:lang w:eastAsia="ru-RU"/>
        </w:rPr>
        <w:t>Срок годности</w:t>
      </w:r>
      <w:r w:rsidRPr="00AD57FE">
        <w:rPr>
          <w:rFonts w:ascii="Times New Roman" w:eastAsia="Times New Roman" w:hAnsi="Times New Roman"/>
          <w:kern w:val="0"/>
          <w:sz w:val="24"/>
          <w:lang w:eastAsia="ru-RU"/>
        </w:rPr>
        <w:t xml:space="preserve"> специальных средств при нарушениях функций выделения на момент выдачи изделий должен быть не менее 1 года.</w:t>
      </w:r>
      <w:r w:rsidRPr="00AD57FE">
        <w:rPr>
          <w:rFonts w:ascii="Times New Roman" w:hAnsi="Times New Roman"/>
          <w:sz w:val="24"/>
        </w:rPr>
        <w:tab/>
      </w:r>
      <w:r w:rsidR="00967B52">
        <w:rPr>
          <w:rFonts w:ascii="Times New Roman" w:hAnsi="Times New Roman"/>
          <w:sz w:val="24"/>
        </w:rPr>
        <w:t xml:space="preserve"> </w:t>
      </w:r>
    </w:p>
    <w:p w:rsidR="0046362B" w:rsidRPr="00967B52" w:rsidRDefault="0046362B" w:rsidP="00783907">
      <w:pPr>
        <w:ind w:left="-567" w:firstLine="709"/>
        <w:rPr>
          <w:rFonts w:ascii="Times New Roman" w:hAnsi="Times New Roman"/>
          <w:color w:val="000000"/>
          <w:sz w:val="22"/>
          <w:szCs w:val="22"/>
        </w:rPr>
      </w:pPr>
    </w:p>
    <w:p w:rsidR="0046362B" w:rsidRPr="00967B52" w:rsidRDefault="0046362B" w:rsidP="00783907">
      <w:pPr>
        <w:ind w:left="-567" w:firstLine="709"/>
        <w:rPr>
          <w:rFonts w:ascii="Times New Roman" w:hAnsi="Times New Roman"/>
          <w:color w:val="000000"/>
          <w:sz w:val="22"/>
          <w:szCs w:val="22"/>
        </w:rPr>
      </w:pPr>
      <w:r w:rsidRPr="00967B52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967B52">
        <w:rPr>
          <w:rFonts w:ascii="Times New Roman" w:hAnsi="Times New Roman"/>
          <w:color w:val="000000"/>
          <w:sz w:val="22"/>
          <w:szCs w:val="22"/>
        </w:rPr>
        <w:t>3</w:t>
      </w:r>
      <w:r w:rsidR="0030719D" w:rsidRPr="00967B52">
        <w:rPr>
          <w:rFonts w:ascii="Times New Roman" w:hAnsi="Times New Roman"/>
          <w:color w:val="000000"/>
          <w:sz w:val="22"/>
          <w:szCs w:val="22"/>
        </w:rPr>
        <w:t>1</w:t>
      </w:r>
      <w:r w:rsidR="00967B52">
        <w:rPr>
          <w:rFonts w:ascii="Times New Roman" w:hAnsi="Times New Roman"/>
          <w:color w:val="000000"/>
          <w:sz w:val="22"/>
          <w:szCs w:val="22"/>
        </w:rPr>
        <w:t xml:space="preserve"> августа</w:t>
      </w:r>
      <w:r w:rsidR="0030719D" w:rsidRPr="00967B52">
        <w:rPr>
          <w:rFonts w:ascii="Times New Roman" w:hAnsi="Times New Roman"/>
          <w:color w:val="000000"/>
          <w:sz w:val="22"/>
          <w:szCs w:val="22"/>
        </w:rPr>
        <w:t xml:space="preserve"> 2019</w:t>
      </w:r>
      <w:r w:rsidRPr="00967B52">
        <w:rPr>
          <w:rFonts w:ascii="Times New Roman" w:hAnsi="Times New Roman"/>
          <w:color w:val="000000"/>
          <w:sz w:val="22"/>
          <w:szCs w:val="22"/>
        </w:rPr>
        <w:t xml:space="preserve"> г. </w:t>
      </w:r>
    </w:p>
    <w:p w:rsidR="0046362B" w:rsidRPr="00967B52" w:rsidRDefault="0046362B" w:rsidP="00783907">
      <w:pPr>
        <w:ind w:left="-567" w:firstLine="709"/>
        <w:rPr>
          <w:rFonts w:ascii="Times New Roman" w:hAnsi="Times New Roman"/>
          <w:color w:val="000000"/>
          <w:kern w:val="2"/>
          <w:sz w:val="22"/>
          <w:szCs w:val="22"/>
        </w:rPr>
      </w:pPr>
      <w:r w:rsidRPr="00967B52">
        <w:rPr>
          <w:rFonts w:ascii="Times New Roman" w:hAnsi="Times New Roman"/>
          <w:color w:val="000000"/>
          <w:sz w:val="22"/>
          <w:szCs w:val="22"/>
        </w:rPr>
        <w:t xml:space="preserve">Срок действия контракта по </w:t>
      </w:r>
      <w:r w:rsidR="00967B52">
        <w:rPr>
          <w:rFonts w:ascii="Times New Roman" w:hAnsi="Times New Roman"/>
          <w:color w:val="000000"/>
          <w:sz w:val="22"/>
          <w:szCs w:val="22"/>
        </w:rPr>
        <w:t>30 сентября</w:t>
      </w:r>
      <w:r w:rsidRPr="00967B52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30719D" w:rsidRPr="00967B52">
        <w:rPr>
          <w:rFonts w:ascii="Times New Roman" w:hAnsi="Times New Roman"/>
          <w:color w:val="000000"/>
          <w:sz w:val="22"/>
          <w:szCs w:val="22"/>
        </w:rPr>
        <w:t>9</w:t>
      </w:r>
      <w:r w:rsidRPr="00967B52">
        <w:rPr>
          <w:rFonts w:ascii="Times New Roman" w:hAnsi="Times New Roman"/>
          <w:color w:val="000000"/>
          <w:sz w:val="22"/>
          <w:szCs w:val="22"/>
        </w:rPr>
        <w:t xml:space="preserve"> г.</w:t>
      </w:r>
    </w:p>
    <w:p w:rsidR="00E327F1" w:rsidRPr="00967B52" w:rsidRDefault="00E327F1" w:rsidP="00783907">
      <w:pPr>
        <w:ind w:left="-567" w:firstLine="709"/>
        <w:rPr>
          <w:rFonts w:ascii="Times New Roman" w:hAnsi="Times New Roman"/>
          <w:color w:val="000000"/>
          <w:sz w:val="22"/>
          <w:szCs w:val="22"/>
        </w:rPr>
      </w:pPr>
    </w:p>
    <w:p w:rsidR="00E327F1" w:rsidRPr="00B806B3" w:rsidRDefault="00E327F1" w:rsidP="00783907">
      <w:pPr>
        <w:ind w:left="-567" w:firstLine="709"/>
        <w:jc w:val="both"/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</w:pPr>
      <w:r>
        <w:rPr>
          <w:rFonts w:ascii="Times New Roman" w:eastAsia="Times New Roman" w:hAnsi="Times New Roman"/>
          <w:bCs/>
          <w:kern w:val="0"/>
          <w:sz w:val="24"/>
          <w:lang w:eastAsia="ar-SA"/>
        </w:rPr>
        <w:t>Место</w:t>
      </w:r>
      <w:r w:rsidRPr="00B806B3">
        <w:rPr>
          <w:rFonts w:ascii="Times New Roman" w:eastAsia="Times New Roman" w:hAnsi="Times New Roman"/>
          <w:bCs/>
          <w:kern w:val="0"/>
          <w:sz w:val="24"/>
          <w:lang w:eastAsia="ar-SA"/>
        </w:rPr>
        <w:t xml:space="preserve"> поставки:</w:t>
      </w:r>
      <w:r w:rsidRPr="00B806B3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 xml:space="preserve"> </w:t>
      </w:r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пункте (пунктах), располагающемся(</w:t>
      </w:r>
      <w:proofErr w:type="spellStart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ихся</w:t>
      </w:r>
      <w:proofErr w:type="spellEnd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в помещении(</w:t>
      </w:r>
      <w:proofErr w:type="spellStart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ях</w:t>
      </w:r>
      <w:proofErr w:type="spellEnd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B806B3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</w:p>
    <w:p w:rsidR="00E327F1" w:rsidRPr="00B806B3" w:rsidRDefault="00E327F1" w:rsidP="00783907">
      <w:pPr>
        <w:ind w:left="-567" w:firstLine="709"/>
        <w:rPr>
          <w:rFonts w:ascii="Times New Roman" w:hAnsi="Times New Roman"/>
          <w:sz w:val="24"/>
        </w:rPr>
      </w:pPr>
    </w:p>
    <w:p w:rsidR="001E2542" w:rsidRPr="00F253CB" w:rsidRDefault="00E327F1" w:rsidP="00783907">
      <w:pPr>
        <w:ind w:left="-567" w:firstLine="709"/>
        <w:jc w:val="both"/>
        <w:rPr>
          <w:rFonts w:ascii="Times New Roman" w:hAnsi="Times New Roman"/>
          <w:sz w:val="24"/>
        </w:rPr>
      </w:pPr>
      <w:r w:rsidRPr="00B806B3">
        <w:rPr>
          <w:rFonts w:ascii="Times New Roman" w:hAnsi="Times New Roman"/>
          <w:sz w:val="24"/>
        </w:rPr>
        <w:tab/>
      </w:r>
    </w:p>
    <w:sectPr w:rsidR="001E2542" w:rsidRPr="00F253CB" w:rsidSect="00783907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D"/>
    <w:rsid w:val="00026C4A"/>
    <w:rsid w:val="00063FFA"/>
    <w:rsid w:val="00080FDF"/>
    <w:rsid w:val="000C5E03"/>
    <w:rsid w:val="000D7937"/>
    <w:rsid w:val="000E7F9E"/>
    <w:rsid w:val="00161656"/>
    <w:rsid w:val="00175EE6"/>
    <w:rsid w:val="001D17C7"/>
    <w:rsid w:val="001E2542"/>
    <w:rsid w:val="001F0F88"/>
    <w:rsid w:val="002A188F"/>
    <w:rsid w:val="002A3762"/>
    <w:rsid w:val="002D13B5"/>
    <w:rsid w:val="0030719D"/>
    <w:rsid w:val="003479C5"/>
    <w:rsid w:val="003A5EFE"/>
    <w:rsid w:val="003B32B6"/>
    <w:rsid w:val="00432FAC"/>
    <w:rsid w:val="00453127"/>
    <w:rsid w:val="0046334D"/>
    <w:rsid w:val="0046362B"/>
    <w:rsid w:val="004918BD"/>
    <w:rsid w:val="0051667D"/>
    <w:rsid w:val="00592F86"/>
    <w:rsid w:val="005F3083"/>
    <w:rsid w:val="005F599E"/>
    <w:rsid w:val="00616C92"/>
    <w:rsid w:val="00627AFF"/>
    <w:rsid w:val="0064312F"/>
    <w:rsid w:val="006475B6"/>
    <w:rsid w:val="006650DE"/>
    <w:rsid w:val="00671853"/>
    <w:rsid w:val="00704D90"/>
    <w:rsid w:val="00764308"/>
    <w:rsid w:val="00783907"/>
    <w:rsid w:val="00810503"/>
    <w:rsid w:val="00830C87"/>
    <w:rsid w:val="00843350"/>
    <w:rsid w:val="00852D3F"/>
    <w:rsid w:val="00871F36"/>
    <w:rsid w:val="008E3697"/>
    <w:rsid w:val="008F6A07"/>
    <w:rsid w:val="00933E45"/>
    <w:rsid w:val="00967B52"/>
    <w:rsid w:val="009969B9"/>
    <w:rsid w:val="009A3D0A"/>
    <w:rsid w:val="009C4805"/>
    <w:rsid w:val="009C5320"/>
    <w:rsid w:val="009E09FC"/>
    <w:rsid w:val="009F5A09"/>
    <w:rsid w:val="00A27CE7"/>
    <w:rsid w:val="00A43602"/>
    <w:rsid w:val="00A7712F"/>
    <w:rsid w:val="00A9069C"/>
    <w:rsid w:val="00AA6476"/>
    <w:rsid w:val="00AD57FE"/>
    <w:rsid w:val="00B34908"/>
    <w:rsid w:val="00B52A48"/>
    <w:rsid w:val="00B630E1"/>
    <w:rsid w:val="00B67CDD"/>
    <w:rsid w:val="00C323A8"/>
    <w:rsid w:val="00C72F25"/>
    <w:rsid w:val="00D84DD7"/>
    <w:rsid w:val="00DC4327"/>
    <w:rsid w:val="00DE493E"/>
    <w:rsid w:val="00DF2583"/>
    <w:rsid w:val="00DF35DF"/>
    <w:rsid w:val="00E215BD"/>
    <w:rsid w:val="00E327F1"/>
    <w:rsid w:val="00E465B2"/>
    <w:rsid w:val="00ED2BD7"/>
    <w:rsid w:val="00F253CB"/>
    <w:rsid w:val="00F67D7A"/>
    <w:rsid w:val="00FD6C8E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7AD6-6D5F-4FDB-AE5B-29F2C7C6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667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16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7D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basedOn w:val="a0"/>
    <w:rsid w:val="00F253CB"/>
    <w:rPr>
      <w:color w:val="0000FF"/>
      <w:u w:val="single"/>
    </w:rPr>
  </w:style>
  <w:style w:type="table" w:styleId="a7">
    <w:name w:val="Table Grid"/>
    <w:basedOn w:val="a1"/>
    <w:uiPriority w:val="59"/>
    <w:rsid w:val="0066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970A-781B-4141-BD7C-DFE365B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Волкова Ольга Михайловна</cp:lastModifiedBy>
  <cp:revision>2</cp:revision>
  <cp:lastPrinted>2019-03-27T08:39:00Z</cp:lastPrinted>
  <dcterms:created xsi:type="dcterms:W3CDTF">2019-04-01T10:33:00Z</dcterms:created>
  <dcterms:modified xsi:type="dcterms:W3CDTF">2019-04-01T10:33:00Z</dcterms:modified>
</cp:coreProperties>
</file>