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F7" w:rsidRPr="003E106B" w:rsidRDefault="007715F7" w:rsidP="007715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7715F7" w:rsidRPr="003E106B" w:rsidRDefault="007715F7" w:rsidP="007715F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6B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обеспечению инвалидов и отдельных категорий граждан из </w:t>
      </w:r>
      <w:proofErr w:type="gramStart"/>
      <w:r w:rsidRPr="003E106B">
        <w:rPr>
          <w:rFonts w:ascii="Times New Roman" w:hAnsi="Times New Roman" w:cs="Times New Roman"/>
          <w:b/>
          <w:sz w:val="24"/>
          <w:szCs w:val="24"/>
        </w:rPr>
        <w:t>числа  ветеранов</w:t>
      </w:r>
      <w:proofErr w:type="gramEnd"/>
      <w:r w:rsidRPr="003E106B">
        <w:rPr>
          <w:rFonts w:ascii="Times New Roman" w:hAnsi="Times New Roman" w:cs="Times New Roman"/>
          <w:b/>
          <w:sz w:val="24"/>
          <w:szCs w:val="24"/>
        </w:rPr>
        <w:t xml:space="preserve">  протезами.</w:t>
      </w:r>
    </w:p>
    <w:tbl>
      <w:tblPr>
        <w:tblW w:w="14236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2108"/>
        <w:gridCol w:w="6560"/>
        <w:gridCol w:w="801"/>
        <w:gridCol w:w="4097"/>
      </w:tblGrid>
      <w:tr w:rsidR="007715F7" w:rsidRPr="003E106B" w:rsidTr="00226A9F">
        <w:trPr>
          <w:gridAfter w:val="1"/>
          <w:wAfter w:w="4097" w:type="dxa"/>
          <w:trHeight w:val="9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5F7" w:rsidRPr="003E106B" w:rsidRDefault="007715F7" w:rsidP="00226A9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5F7" w:rsidRPr="003E106B" w:rsidRDefault="007715F7" w:rsidP="00226A9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Наименование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5F7" w:rsidRPr="00E356C5" w:rsidRDefault="007715F7" w:rsidP="00226A9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ar-SA"/>
              </w:rPr>
            </w:pPr>
            <w:r w:rsidRPr="00E356C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ar-SA"/>
              </w:rPr>
              <w:t>Описание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15F7" w:rsidRPr="003E106B" w:rsidRDefault="007715F7" w:rsidP="00226A9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Кол-во, шт</w:t>
            </w: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7715F7" w:rsidRPr="003E106B" w:rsidTr="00226A9F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715F7" w:rsidRPr="003E106B" w:rsidRDefault="007715F7" w:rsidP="00226A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5F7" w:rsidRDefault="007715F7" w:rsidP="00226A9F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>
              <w:t>Протез голени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5F7" w:rsidRDefault="007715F7" w:rsidP="007715F7">
            <w:pPr>
              <w:jc w:val="both"/>
            </w:pPr>
            <w:r>
              <w:t>Протез голени модельный для инвалидов среднего уровня двигательной активности. Лечебно-тренировочный. Изготавливается по индивидуальному тех. процессу. Пробная приемная гильза из термопласта; постоянная приемная гильза из литьевого слоистого пластика на основе акриловых смол. Стопа обеспечивает удобную опору на пятку и легкий перекат. Регулировочно-</w:t>
            </w:r>
            <w:proofErr w:type="gramStart"/>
            <w:r>
              <w:t>соединительные  устройства</w:t>
            </w:r>
            <w:proofErr w:type="gramEnd"/>
            <w:r>
              <w:t xml:space="preserve"> на нагрузку соответствующие весу пациента. Косметическая облицовка модульная – </w:t>
            </w:r>
            <w:proofErr w:type="spellStart"/>
            <w:r>
              <w:t>пенополиуретан</w:t>
            </w:r>
            <w:proofErr w:type="spellEnd"/>
            <w:r>
              <w:t>.  Крепление за счет наконечника.</w:t>
            </w:r>
          </w:p>
          <w:p w:rsidR="007715F7" w:rsidRDefault="007715F7" w:rsidP="00226A9F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15F7" w:rsidRPr="003E106B" w:rsidRDefault="007715F7" w:rsidP="0022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715F7" w:rsidRPr="003E106B" w:rsidTr="00226A9F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715F7" w:rsidRDefault="007715F7" w:rsidP="00226A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5F7" w:rsidRPr="0023289E" w:rsidRDefault="007715F7" w:rsidP="00226A9F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t>Протез предплечья косметический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5F7" w:rsidRDefault="007715F7" w:rsidP="007715F7">
            <w:pPr>
              <w:jc w:val="both"/>
            </w:pPr>
            <w:r>
              <w:t xml:space="preserve">Протез предплечья косметический. Изготавливается по индивидуальному тех. процессу. Пробная приемная гильза слепку из термопласта. Постоянная приемная гильза по слепку из слоистого пластика на </w:t>
            </w:r>
            <w:proofErr w:type="gramStart"/>
            <w:r>
              <w:t>основе  акриловых</w:t>
            </w:r>
            <w:proofErr w:type="gramEnd"/>
            <w:r>
              <w:t xml:space="preserve"> смол. Косметическая кисть из </w:t>
            </w:r>
            <w:proofErr w:type="gramStart"/>
            <w:r>
              <w:t>высококачественного  ПВХ</w:t>
            </w:r>
            <w:proofErr w:type="gramEnd"/>
            <w:r>
              <w:t>-</w:t>
            </w:r>
            <w:proofErr w:type="spellStart"/>
            <w:r>
              <w:t>пластизоля</w:t>
            </w:r>
            <w:proofErr w:type="spellEnd"/>
            <w:r>
              <w:t xml:space="preserve"> медицинского назначения, по форме, цвету и структуре поверхности копирует здоровую руку человека- 4 шт. Крепление манжетой на плечо.</w:t>
            </w:r>
          </w:p>
          <w:p w:rsidR="007715F7" w:rsidRPr="0023289E" w:rsidRDefault="007715F7" w:rsidP="00226A9F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15F7" w:rsidRDefault="007715F7" w:rsidP="0022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15F7" w:rsidRPr="003E106B" w:rsidTr="00226A9F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715F7" w:rsidRDefault="007715F7" w:rsidP="00226A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5F7" w:rsidRPr="0023289E" w:rsidRDefault="0063315C" w:rsidP="00226A9F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bookmarkStart w:id="0" w:name="_GoBack"/>
            <w:r>
              <w:t>Протез бедра модульного</w:t>
            </w:r>
            <w:bookmarkEnd w:id="0"/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5F7" w:rsidRDefault="007715F7" w:rsidP="007715F7">
            <w:pPr>
              <w:jc w:val="both"/>
            </w:pPr>
            <w:r>
              <w:t>Протез бедра мод</w:t>
            </w:r>
            <w:r>
              <w:t>у</w:t>
            </w:r>
            <w:r>
              <w:t xml:space="preserve">льного типа с косметической облицовкой, полиуретановая (поролон), Косметическая оболочка, чулки </w:t>
            </w:r>
            <w:proofErr w:type="spellStart"/>
            <w:r>
              <w:t>перлоновые</w:t>
            </w:r>
            <w:proofErr w:type="spellEnd"/>
            <w:r>
              <w:t>, ортопедические; приемная гильза индивидуальная, (изготовленная по индивидуальному слепку с культи инвалида), количество приемных гильз 2шт; одна приемная гильза литьевая, слоистая, из акриловых смол и 1 пробная гильза, листовой термопластичный пластик, без вкладной гильзы, без чехла гелиевого полимерного; крепление протеза бедра на инвалиде с использованием поддерживающего бандажа; регулировочно-соединительные устройства на нагрузку соответствующие весу пациента, до 125кг; стопа 1</w:t>
            </w:r>
            <w:r>
              <w:rPr>
                <w:lang w:val="en-US"/>
              </w:rPr>
              <w:t>D</w:t>
            </w:r>
            <w:r>
              <w:t>35; с коленным модулем 3</w:t>
            </w:r>
            <w:r>
              <w:rPr>
                <w:lang w:val="en-US"/>
              </w:rPr>
              <w:t>R</w:t>
            </w:r>
            <w:r>
              <w:t xml:space="preserve">23; поворотное устройство отсутствует; тип протеза по назначению: постоянный </w:t>
            </w:r>
          </w:p>
          <w:p w:rsidR="007715F7" w:rsidRPr="0023289E" w:rsidRDefault="007715F7" w:rsidP="00226A9F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15F7" w:rsidRDefault="007715F7" w:rsidP="0022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15F7" w:rsidRPr="003E106B" w:rsidTr="00226A9F">
        <w:trPr>
          <w:trHeight w:val="145"/>
        </w:trPr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5F7" w:rsidRDefault="007715F7" w:rsidP="00226A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5F7" w:rsidRDefault="0063315C" w:rsidP="00226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4097" w:type="dxa"/>
            <w:vAlign w:val="center"/>
          </w:tcPr>
          <w:p w:rsidR="007715F7" w:rsidRDefault="007715F7" w:rsidP="00226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7715F7" w:rsidRPr="003E106B" w:rsidRDefault="007715F7" w:rsidP="007715F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lastRenderedPageBreak/>
        <w:t>Протез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Работы по обеспечению инвалида протез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0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технического средства реабилитации. 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качеству 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Протез должен изготавливаться с учетом анатомических дефектов нижней конечности,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социальные аспекты.  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Приемные гильзы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Узлы протеза должны быть стойкими к воздействию физиологических растворов (пота).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Металлический протез должен быть изготовлен из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коррозийно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стойких материалов или защищен от коррозии специальными покрытиями. 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Протез </w:t>
      </w:r>
      <w:r>
        <w:rPr>
          <w:rFonts w:ascii="Times New Roman" w:hAnsi="Times New Roman" w:cs="Times New Roman"/>
          <w:sz w:val="24"/>
          <w:szCs w:val="24"/>
        </w:rPr>
        <w:t xml:space="preserve">нижней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 должен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быть классифицирован в соответствии с требованиями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ортопедические. Общие технические требования», Государственного стандарта Российской Федерации ГОСТ Р 51819-2001 «Протезирование и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безопасности 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Проведение работ по обеспечению инвалида протез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0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должны осуществляться при наличии: сертификатов соответствия на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ортопедические изделия.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результатам 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Работы по обеспечению инвалида протезом </w:t>
      </w:r>
      <w:r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</w:t>
      </w:r>
      <w:r>
        <w:rPr>
          <w:rFonts w:ascii="Times New Roman" w:hAnsi="Times New Roman" w:cs="Times New Roman"/>
          <w:sz w:val="24"/>
          <w:szCs w:val="24"/>
        </w:rPr>
        <w:t xml:space="preserve">нижней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 должны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быть выполнены с надлежащим качеством и в установленные сроки.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Упаковка  протеза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маркировке, упаковке, транспортированию и хранению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Р 50267.0 и ГОСТ 51632-2000.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сроку предоставления гарантий качества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Гарантийный срок устанавливается со дня передачи результата работ Получателю - 12 месяцев.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</w:t>
      </w:r>
      <w:r w:rsidRPr="003E106B">
        <w:rPr>
          <w:rFonts w:ascii="Times New Roman" w:hAnsi="Times New Roman" w:cs="Times New Roman"/>
          <w:sz w:val="24"/>
          <w:szCs w:val="24"/>
        </w:rPr>
        <w:lastRenderedPageBreak/>
        <w:t>реабилитации (изделия), утвержденного приказом Министерства труда и социальной защиты Российской Федерации от 24 мая 2013 г. N 215н: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- Протез </w:t>
      </w:r>
      <w:r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- 2 года (для детей-инвалидов - не менее 1 года).</w:t>
      </w:r>
    </w:p>
    <w:p w:rsidR="007715F7" w:rsidRPr="003E106B" w:rsidRDefault="007715F7" w:rsidP="0077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5F7" w:rsidRPr="003E106B" w:rsidRDefault="007715F7" w:rsidP="007715F7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06B">
        <w:rPr>
          <w:rFonts w:ascii="Times New Roman" w:hAnsi="Times New Roman" w:cs="Times New Roman"/>
          <w:b/>
          <w:bCs/>
          <w:sz w:val="24"/>
          <w:szCs w:val="24"/>
        </w:rPr>
        <w:t xml:space="preserve">Место выполнения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E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согласованию с заказчиком</w:t>
      </w:r>
    </w:p>
    <w:p w:rsidR="007715F7" w:rsidRPr="003E106B" w:rsidRDefault="007715F7" w:rsidP="007715F7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06B">
        <w:rPr>
          <w:rFonts w:ascii="Times New Roman" w:hAnsi="Times New Roman" w:cs="Times New Roman"/>
          <w:b/>
        </w:rPr>
        <w:t>Срок выполнения работ</w:t>
      </w:r>
      <w:r w:rsidRPr="003E106B">
        <w:rPr>
          <w:rFonts w:ascii="Times New Roman" w:hAnsi="Times New Roman" w:cs="Times New Roman"/>
        </w:rPr>
        <w:t xml:space="preserve"> установлен в пределах срока действия настоящего контракта, при этом:</w:t>
      </w:r>
    </w:p>
    <w:p w:rsidR="007715F7" w:rsidRPr="003E106B" w:rsidRDefault="007715F7" w:rsidP="00771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</w:rPr>
        <w:t xml:space="preserve"> - начало – с момента обращения Получателя к Исполнителю с направлением;</w:t>
      </w:r>
    </w:p>
    <w:p w:rsidR="007715F7" w:rsidRPr="003E106B" w:rsidRDefault="007715F7" w:rsidP="00771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</w:rPr>
        <w:t xml:space="preserve">- окончание - не позднее 20 календарных дней с даты обращения Получателя к Исполнителю с направлением, выданным Заказчиком.  </w:t>
      </w:r>
    </w:p>
    <w:p w:rsidR="007715F7" w:rsidRPr="003E106B" w:rsidRDefault="007715F7" w:rsidP="00771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  <w:bCs/>
        </w:rPr>
        <w:t xml:space="preserve">Срок действия настоящего контракта устанавливается с момента его подписания обеими сторонами </w:t>
      </w:r>
      <w:r w:rsidRPr="003E106B">
        <w:rPr>
          <w:rFonts w:ascii="Times New Roman" w:hAnsi="Times New Roman" w:cs="Times New Roman"/>
          <w:b/>
          <w:bCs/>
        </w:rPr>
        <w:t>до 25 декабря</w:t>
      </w:r>
      <w:r w:rsidRPr="003E106B">
        <w:rPr>
          <w:rFonts w:ascii="Times New Roman" w:hAnsi="Times New Roman" w:cs="Times New Roman"/>
          <w:bCs/>
        </w:rPr>
        <w:t xml:space="preserve"> </w:t>
      </w:r>
      <w:r w:rsidRPr="003E106B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9</w:t>
      </w:r>
      <w:r w:rsidRPr="003E106B">
        <w:rPr>
          <w:rFonts w:ascii="Times New Roman" w:hAnsi="Times New Roman" w:cs="Times New Roman"/>
          <w:b/>
          <w:bCs/>
        </w:rPr>
        <w:t xml:space="preserve"> </w:t>
      </w:r>
      <w:r w:rsidRPr="003E106B">
        <w:rPr>
          <w:rFonts w:ascii="Times New Roman" w:hAnsi="Times New Roman" w:cs="Times New Roman"/>
          <w:bCs/>
        </w:rPr>
        <w:t>года.</w:t>
      </w:r>
    </w:p>
    <w:p w:rsidR="007715F7" w:rsidRDefault="007715F7" w:rsidP="007715F7"/>
    <w:p w:rsidR="00E1626C" w:rsidRDefault="00E1626C"/>
    <w:sectPr w:rsidR="00E1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31"/>
    <w:rsid w:val="0063315C"/>
    <w:rsid w:val="006A3431"/>
    <w:rsid w:val="007715F7"/>
    <w:rsid w:val="00E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ADE2D-E33E-488F-871E-FE67628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3</cp:revision>
  <dcterms:created xsi:type="dcterms:W3CDTF">2019-05-28T13:44:00Z</dcterms:created>
  <dcterms:modified xsi:type="dcterms:W3CDTF">2019-05-28T13:47:00Z</dcterms:modified>
</cp:coreProperties>
</file>