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AC" w:rsidRDefault="002F6DAC" w:rsidP="002F6DAC">
      <w:pPr>
        <w:ind w:left="709"/>
        <w:jc w:val="center"/>
        <w:rPr>
          <w:rFonts w:eastAsia="Lucida Sans Unicode"/>
          <w:b/>
          <w:kern w:val="3"/>
          <w:sz w:val="24"/>
          <w:szCs w:val="24"/>
        </w:rPr>
      </w:pPr>
      <w:r>
        <w:rPr>
          <w:b/>
          <w:color w:val="000000"/>
          <w:sz w:val="24"/>
          <w:szCs w:val="24"/>
        </w:rPr>
        <w:t xml:space="preserve">Обоснование начальной (максимальной) цены контракта </w:t>
      </w:r>
      <w:r>
        <w:rPr>
          <w:b/>
          <w:sz w:val="24"/>
          <w:szCs w:val="24"/>
        </w:rPr>
        <w:t xml:space="preserve">на </w:t>
      </w:r>
      <w:r>
        <w:rPr>
          <w:rFonts w:eastAsia="Lucida Sans Unicode"/>
          <w:b/>
          <w:kern w:val="3"/>
          <w:sz w:val="24"/>
          <w:szCs w:val="24"/>
        </w:rPr>
        <w:t>выполнение работ по изготовлению ортопедической обуви для инвалидов в 2019 году.</w:t>
      </w:r>
    </w:p>
    <w:p w:rsidR="002F6DAC" w:rsidRDefault="002F6DAC" w:rsidP="002F6DAC">
      <w:pPr>
        <w:ind w:left="709"/>
        <w:jc w:val="center"/>
        <w:rPr>
          <w:b/>
          <w:sz w:val="24"/>
          <w:szCs w:val="24"/>
        </w:rPr>
      </w:pPr>
    </w:p>
    <w:tbl>
      <w:tblPr>
        <w:tblW w:w="10530" w:type="dxa"/>
        <w:tblInd w:w="-572" w:type="dxa"/>
        <w:tblLayout w:type="fixed"/>
        <w:tblCellMar>
          <w:left w:w="28" w:type="dxa"/>
          <w:right w:w="28" w:type="dxa"/>
        </w:tblCellMar>
        <w:tblLook w:val="04A0" w:firstRow="1" w:lastRow="0" w:firstColumn="1" w:lastColumn="0" w:noHBand="0" w:noVBand="1"/>
      </w:tblPr>
      <w:tblGrid>
        <w:gridCol w:w="3386"/>
        <w:gridCol w:w="7144"/>
      </w:tblGrid>
      <w:tr w:rsidR="002F6DAC" w:rsidTr="002F6DAC">
        <w:trPr>
          <w:trHeight w:val="642"/>
        </w:trPr>
        <w:tc>
          <w:tcPr>
            <w:tcW w:w="3384" w:type="dxa"/>
            <w:tcBorders>
              <w:top w:val="single" w:sz="4" w:space="0" w:color="000000"/>
              <w:left w:val="single" w:sz="4" w:space="0" w:color="000000"/>
              <w:bottom w:val="single" w:sz="4" w:space="0" w:color="000000"/>
              <w:right w:val="nil"/>
            </w:tcBorders>
            <w:hideMark/>
          </w:tcPr>
          <w:p w:rsidR="002F6DAC" w:rsidRDefault="002F6DAC">
            <w:pPr>
              <w:rPr>
                <w:bCs/>
                <w:sz w:val="24"/>
                <w:szCs w:val="24"/>
              </w:rPr>
            </w:pPr>
            <w:r>
              <w:rPr>
                <w:b/>
                <w:bCs/>
                <w:sz w:val="24"/>
                <w:szCs w:val="24"/>
              </w:rPr>
              <w:t>Основные характеристики объекта закупки</w:t>
            </w:r>
          </w:p>
        </w:tc>
        <w:tc>
          <w:tcPr>
            <w:tcW w:w="7139" w:type="dxa"/>
            <w:tcBorders>
              <w:top w:val="single" w:sz="4" w:space="0" w:color="000000"/>
              <w:left w:val="single" w:sz="4" w:space="0" w:color="000000"/>
              <w:bottom w:val="single" w:sz="4" w:space="0" w:color="000000"/>
              <w:right w:val="single" w:sz="4" w:space="0" w:color="000000"/>
            </w:tcBorders>
            <w:hideMark/>
          </w:tcPr>
          <w:p w:rsidR="002F6DAC" w:rsidRDefault="002F6DAC">
            <w:pPr>
              <w:rPr>
                <w:sz w:val="24"/>
                <w:szCs w:val="24"/>
              </w:rPr>
            </w:pPr>
            <w:r>
              <w:rPr>
                <w:rFonts w:eastAsia="Lucida Sans Unicode"/>
                <w:kern w:val="3"/>
                <w:sz w:val="24"/>
                <w:szCs w:val="24"/>
              </w:rPr>
              <w:t>Выполнение работ по изготовлению ортопедической обуви для инвалидов в 2019 году.</w:t>
            </w:r>
          </w:p>
        </w:tc>
      </w:tr>
      <w:tr w:rsidR="002F6DAC" w:rsidTr="002F6DAC">
        <w:tc>
          <w:tcPr>
            <w:tcW w:w="3384" w:type="dxa"/>
            <w:tcBorders>
              <w:top w:val="single" w:sz="4" w:space="0" w:color="000000"/>
              <w:left w:val="single" w:sz="4" w:space="0" w:color="000000"/>
              <w:bottom w:val="single" w:sz="4" w:space="0" w:color="000000"/>
              <w:right w:val="nil"/>
            </w:tcBorders>
            <w:hideMark/>
          </w:tcPr>
          <w:p w:rsidR="002F6DAC" w:rsidRDefault="002F6DAC">
            <w:pPr>
              <w:rPr>
                <w:bCs/>
                <w:sz w:val="24"/>
                <w:szCs w:val="24"/>
              </w:rPr>
            </w:pPr>
            <w:r>
              <w:rPr>
                <w:b/>
                <w:bCs/>
                <w:sz w:val="24"/>
                <w:szCs w:val="24"/>
              </w:rPr>
              <w:t xml:space="preserve">Используемый метод определения НМЦК </w:t>
            </w:r>
            <w:r>
              <w:rPr>
                <w:b/>
                <w:bCs/>
                <w:sz w:val="24"/>
                <w:szCs w:val="24"/>
              </w:rPr>
              <w:br/>
              <w:t>с обоснованием:</w:t>
            </w:r>
          </w:p>
        </w:tc>
        <w:tc>
          <w:tcPr>
            <w:tcW w:w="7139" w:type="dxa"/>
            <w:tcBorders>
              <w:top w:val="single" w:sz="4" w:space="0" w:color="000000"/>
              <w:left w:val="single" w:sz="4" w:space="0" w:color="000000"/>
              <w:bottom w:val="single" w:sz="4" w:space="0" w:color="000000"/>
              <w:right w:val="single" w:sz="4" w:space="0" w:color="000000"/>
            </w:tcBorders>
            <w:hideMark/>
          </w:tcPr>
          <w:p w:rsidR="002F6DAC" w:rsidRDefault="002F6DAC">
            <w:pPr>
              <w:rPr>
                <w:b/>
                <w:bCs/>
                <w:sz w:val="24"/>
                <w:szCs w:val="24"/>
              </w:rPr>
            </w:pPr>
            <w:r>
              <w:rPr>
                <w:bCs/>
                <w:sz w:val="24"/>
                <w:szCs w:val="24"/>
              </w:rPr>
              <w:t>Метод сопоставимых рыночных цен (анализ рынка). Цена контракта установлена на основании нормативов, собственных расчетов, основанных на данных коммерческих предложений.</w:t>
            </w:r>
          </w:p>
        </w:tc>
      </w:tr>
      <w:tr w:rsidR="002F6DAC" w:rsidTr="002F6DAC">
        <w:tc>
          <w:tcPr>
            <w:tcW w:w="10523" w:type="dxa"/>
            <w:gridSpan w:val="2"/>
            <w:tcBorders>
              <w:top w:val="single" w:sz="4" w:space="0" w:color="000000"/>
              <w:left w:val="single" w:sz="4" w:space="0" w:color="000000"/>
              <w:bottom w:val="nil"/>
              <w:right w:val="single" w:sz="4" w:space="0" w:color="000000"/>
            </w:tcBorders>
          </w:tcPr>
          <w:p w:rsidR="002F6DAC" w:rsidRDefault="002F6DAC">
            <w:pPr>
              <w:widowControl w:val="0"/>
              <w:autoSpaceDE w:val="0"/>
              <w:jc w:val="both"/>
              <w:rPr>
                <w:b/>
                <w:sz w:val="24"/>
                <w:szCs w:val="24"/>
              </w:rPr>
            </w:pPr>
            <w:r>
              <w:rPr>
                <w:b/>
                <w:bCs/>
                <w:sz w:val="24"/>
                <w:szCs w:val="24"/>
              </w:rPr>
              <w:t>Расчет НМЦК.</w:t>
            </w:r>
            <w:r>
              <w:rPr>
                <w:sz w:val="24"/>
                <w:szCs w:val="24"/>
              </w:rPr>
              <w:t xml:space="preserve"> Источники информации: </w:t>
            </w:r>
            <w:r>
              <w:rPr>
                <w:b/>
                <w:sz w:val="24"/>
                <w:szCs w:val="24"/>
              </w:rPr>
              <w:t>коммерческие предложения</w:t>
            </w:r>
          </w:p>
          <w:p w:rsidR="002F6DAC" w:rsidRDefault="002F6DAC">
            <w:pPr>
              <w:pStyle w:val="1a"/>
              <w:shd w:val="clear" w:color="auto" w:fill="FFFFFF"/>
              <w:autoSpaceDE w:val="0"/>
              <w:spacing w:after="0" w:line="240" w:lineRule="auto"/>
              <w:ind w:left="0"/>
              <w:jc w:val="both"/>
              <w:rPr>
                <w:rFonts w:ascii="Times New Roman" w:hAnsi="Times New Roman" w:cs="Times New Roman"/>
              </w:rPr>
            </w:pPr>
            <w:r>
              <w:rPr>
                <w:rFonts w:ascii="Times New Roman" w:hAnsi="Times New Roman"/>
                <w:b/>
              </w:rPr>
              <w:t>Исполнитель № 1:</w:t>
            </w:r>
            <w:r>
              <w:rPr>
                <w:rFonts w:ascii="Times New Roman" w:hAnsi="Times New Roman"/>
              </w:rPr>
              <w:t xml:space="preserve"> Исходящий документ Исполнителя № 113 от 28.11.2018 (</w:t>
            </w:r>
            <w:proofErr w:type="spellStart"/>
            <w:r>
              <w:rPr>
                <w:rFonts w:ascii="Times New Roman" w:hAnsi="Times New Roman" w:cs="Times New Roman"/>
              </w:rPr>
              <w:t>Вх</w:t>
            </w:r>
            <w:proofErr w:type="spellEnd"/>
            <w:r>
              <w:rPr>
                <w:rFonts w:ascii="Times New Roman" w:hAnsi="Times New Roman" w:cs="Times New Roman"/>
              </w:rPr>
              <w:t xml:space="preserve">. № 14625 от 28.11.2018). </w:t>
            </w:r>
          </w:p>
          <w:p w:rsidR="002F6DAC" w:rsidRDefault="002F6DAC">
            <w:pPr>
              <w:pStyle w:val="1a"/>
              <w:shd w:val="clear" w:color="auto" w:fill="FFFFFF"/>
              <w:autoSpaceDE w:val="0"/>
              <w:spacing w:after="0" w:line="240" w:lineRule="auto"/>
              <w:ind w:left="0"/>
              <w:jc w:val="both"/>
              <w:rPr>
                <w:rFonts w:ascii="Times New Roman" w:hAnsi="Times New Roman" w:cs="Times New Roman"/>
              </w:rPr>
            </w:pPr>
            <w:r>
              <w:rPr>
                <w:rFonts w:ascii="Times New Roman" w:hAnsi="Times New Roman"/>
                <w:b/>
              </w:rPr>
              <w:t>Исполнитель № 2:</w:t>
            </w:r>
            <w:r>
              <w:rPr>
                <w:rFonts w:ascii="Times New Roman" w:hAnsi="Times New Roman"/>
              </w:rPr>
              <w:t xml:space="preserve"> Исходящий документ Исполнителя № 81 от 28.11.2018 (</w:t>
            </w:r>
            <w:proofErr w:type="spellStart"/>
            <w:r>
              <w:rPr>
                <w:rFonts w:ascii="Times New Roman" w:hAnsi="Times New Roman" w:cs="Times New Roman"/>
              </w:rPr>
              <w:t>Вх</w:t>
            </w:r>
            <w:proofErr w:type="spellEnd"/>
            <w:r>
              <w:rPr>
                <w:rFonts w:ascii="Times New Roman" w:hAnsi="Times New Roman" w:cs="Times New Roman"/>
              </w:rPr>
              <w:t>. № 14625(01) от 28.11.2018).</w:t>
            </w:r>
          </w:p>
          <w:p w:rsidR="002F6DAC" w:rsidRDefault="002F6DAC">
            <w:pPr>
              <w:widowControl w:val="0"/>
              <w:autoSpaceDE w:val="0"/>
              <w:jc w:val="both"/>
              <w:rPr>
                <w:sz w:val="24"/>
                <w:szCs w:val="24"/>
              </w:rPr>
            </w:pPr>
            <w:r>
              <w:rPr>
                <w:rFonts w:cs="Calibri"/>
                <w:b/>
                <w:sz w:val="22"/>
                <w:szCs w:val="22"/>
              </w:rPr>
              <w:t xml:space="preserve">Исполнитель </w:t>
            </w:r>
            <w:r>
              <w:rPr>
                <w:b/>
                <w:sz w:val="22"/>
                <w:szCs w:val="22"/>
              </w:rPr>
              <w:t>№ 3:</w:t>
            </w:r>
            <w:r>
              <w:rPr>
                <w:sz w:val="22"/>
                <w:szCs w:val="22"/>
              </w:rPr>
              <w:t xml:space="preserve"> </w:t>
            </w:r>
            <w:r>
              <w:rPr>
                <w:rFonts w:cs="Calibri"/>
                <w:sz w:val="22"/>
                <w:szCs w:val="22"/>
              </w:rPr>
              <w:t>Исходящий документ Исполнителя № 181 от 28.11.2018 (</w:t>
            </w:r>
            <w:proofErr w:type="spellStart"/>
            <w:r>
              <w:rPr>
                <w:rFonts w:cs="Calibri"/>
                <w:sz w:val="22"/>
                <w:szCs w:val="22"/>
              </w:rPr>
              <w:t>Вх</w:t>
            </w:r>
            <w:proofErr w:type="spellEnd"/>
            <w:r>
              <w:rPr>
                <w:rFonts w:cs="Calibri"/>
                <w:sz w:val="22"/>
                <w:szCs w:val="22"/>
              </w:rPr>
              <w:t>. № 14625(02) от 28.11.2018).</w:t>
            </w:r>
          </w:p>
          <w:tbl>
            <w:tblPr>
              <w:tblStyle w:val="a5"/>
              <w:tblW w:w="10485" w:type="dxa"/>
              <w:tblLayout w:type="fixed"/>
              <w:tblLook w:val="04A0" w:firstRow="1" w:lastRow="0" w:firstColumn="1" w:lastColumn="0" w:noHBand="0" w:noVBand="1"/>
            </w:tblPr>
            <w:tblGrid>
              <w:gridCol w:w="2694"/>
              <w:gridCol w:w="1274"/>
              <w:gridCol w:w="1275"/>
              <w:gridCol w:w="1275"/>
              <w:gridCol w:w="1275"/>
              <w:gridCol w:w="992"/>
              <w:gridCol w:w="1700"/>
            </w:tblGrid>
            <w:tr w:rsidR="002F6DAC">
              <w:trPr>
                <w:trHeight w:val="7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sz w:val="22"/>
                      <w:szCs w:val="22"/>
                    </w:rPr>
                  </w:pPr>
                  <w:r>
                    <w:rPr>
                      <w:b/>
                    </w:rPr>
                    <w:t>Наименование изделия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pStyle w:val="1a"/>
                    <w:shd w:val="clear" w:color="auto" w:fill="FFFFFF"/>
                    <w:autoSpaceDE w:val="0"/>
                    <w:spacing w:after="0"/>
                    <w:ind w:left="0"/>
                    <w:jc w:val="center"/>
                    <w:rPr>
                      <w:rFonts w:ascii="Times New Roman" w:hAnsi="Times New Roman" w:cs="Times New Roman"/>
                      <w:b/>
                    </w:rPr>
                  </w:pPr>
                  <w:r>
                    <w:rPr>
                      <w:rFonts w:ascii="Times New Roman" w:hAnsi="Times New Roman" w:cs="Times New Roman"/>
                      <w:b/>
                    </w:rPr>
                    <w:t>Исполнитель №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rPr>
                  </w:pPr>
                  <w:r>
                    <w:rPr>
                      <w:b/>
                    </w:rPr>
                    <w:t>Исполнитель № 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rPr>
                  </w:pPr>
                  <w:r>
                    <w:rPr>
                      <w:b/>
                    </w:rPr>
                    <w:t>Исполнитель № 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rPr>
                  </w:pPr>
                  <w:r>
                    <w:rPr>
                      <w:b/>
                    </w:rPr>
                    <w:t>Средняя стоимость работ,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rPr>
                  </w:pPr>
                  <w:r>
                    <w:rPr>
                      <w:b/>
                    </w:rPr>
                    <w:t>Количество, пар.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rPr>
                  </w:pPr>
                  <w:r>
                    <w:rPr>
                      <w:b/>
                    </w:rPr>
                    <w:t>НМЦК, руб.</w:t>
                  </w:r>
                </w:p>
              </w:tc>
            </w:tr>
            <w:tr w:rsidR="002F6DA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both"/>
                    <w:rPr>
                      <w:color w:val="000000"/>
                    </w:rPr>
                  </w:pPr>
                  <w:r>
                    <w:rPr>
                      <w:color w:val="000000"/>
                    </w:rPr>
                    <w:t>Ортопедическая обувь сложная без утепленной подкладки (пара) (взрослая)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6 600,00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6 500,00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6 700,00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6 600,00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660 000,00</w:t>
                  </w:r>
                </w:p>
              </w:tc>
            </w:tr>
            <w:tr w:rsidR="002F6DA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both"/>
                    <w:rPr>
                      <w:color w:val="000000"/>
                    </w:rPr>
                  </w:pPr>
                  <w:r>
                    <w:rPr>
                      <w:color w:val="000000"/>
                    </w:rPr>
                    <w:t>Ортопедическая обувь сложная на сохраненную конечность и обувь на протез без утепленной подкладки (пара)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5 500,00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5 400,00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5 600,00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275 000,00</w:t>
                  </w:r>
                </w:p>
              </w:tc>
            </w:tr>
            <w:tr w:rsidR="002F6DA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both"/>
                    <w:rPr>
                      <w:color w:val="000000"/>
                    </w:rPr>
                  </w:pPr>
                  <w:r>
                    <w:rPr>
                      <w:color w:val="000000"/>
                    </w:rPr>
                    <w:t>Ортопедическая обувь на протезы при двусторонней ампутации нижних конечностей (пара)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4 400,00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4 300,00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4 500,00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4 400,00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88 000,00</w:t>
                  </w:r>
                </w:p>
              </w:tc>
            </w:tr>
            <w:tr w:rsidR="002F6DA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both"/>
                    <w:rPr>
                      <w:color w:val="000000"/>
                    </w:rPr>
                  </w:pPr>
                  <w:r>
                    <w:rPr>
                      <w:color w:val="000000"/>
                    </w:rPr>
                    <w:t>Ортопедическая обувь сложная на утепленной подкладке (пара) (взрослая)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7 000,00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6 900,00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7 100,00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7 000,00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700 000,00</w:t>
                  </w:r>
                </w:p>
              </w:tc>
            </w:tr>
            <w:tr w:rsidR="002F6DA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both"/>
                    <w:rPr>
                      <w:color w:val="000000"/>
                    </w:rPr>
                  </w:pPr>
                  <w:r>
                    <w:rPr>
                      <w:color w:val="000000"/>
                    </w:rPr>
                    <w:t>Ортопедическая обувь сложная на сохраненную конечность и обувь на протез на утепленной подкладке (пара)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5 700,00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5 600,00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5 800,00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5 700,00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color w:val="000000"/>
                    </w:rPr>
                  </w:pPr>
                  <w:r>
                    <w:rPr>
                      <w:color w:val="000000"/>
                    </w:rPr>
                    <w:t>285 000,00</w:t>
                  </w:r>
                </w:p>
              </w:tc>
            </w:tr>
            <w:tr w:rsidR="002F6DAC">
              <w:tc>
                <w:tcPr>
                  <w:tcW w:w="77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DAC" w:rsidRDefault="002F6DAC">
                  <w:pPr>
                    <w:rPr>
                      <w:rFonts w:eastAsiaTheme="minorEastAsia"/>
                      <w:b/>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bCs/>
                      <w:color w:val="000000"/>
                    </w:rPr>
                  </w:pPr>
                  <w:r>
                    <w:rPr>
                      <w:b/>
                      <w:bCs/>
                      <w:color w:val="000000"/>
                    </w:rPr>
                    <w:t>320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6DAC" w:rsidRDefault="002F6DAC">
                  <w:pPr>
                    <w:jc w:val="center"/>
                    <w:rPr>
                      <w:b/>
                      <w:color w:val="000000"/>
                      <w:lang w:eastAsia="ar-SA"/>
                    </w:rPr>
                  </w:pPr>
                </w:p>
              </w:tc>
            </w:tr>
            <w:tr w:rsidR="002F6DAC">
              <w:tc>
                <w:tcPr>
                  <w:tcW w:w="87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widowControl w:val="0"/>
                    <w:autoSpaceDE w:val="0"/>
                    <w:snapToGrid w:val="0"/>
                    <w:jc w:val="both"/>
                    <w:rPr>
                      <w:b/>
                    </w:rPr>
                  </w:pPr>
                  <w:r>
                    <w:rPr>
                      <w:b/>
                      <w:u w:val="single"/>
                    </w:rPr>
                    <w:t>НМЦК составляет: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DAC" w:rsidRDefault="002F6DAC">
                  <w:pPr>
                    <w:jc w:val="center"/>
                    <w:rPr>
                      <w:b/>
                      <w:bCs/>
                      <w:color w:val="000000"/>
                    </w:rPr>
                  </w:pPr>
                  <w:r>
                    <w:rPr>
                      <w:b/>
                      <w:bCs/>
                      <w:color w:val="000000"/>
                    </w:rPr>
                    <w:t>2 008 000,00</w:t>
                  </w:r>
                </w:p>
              </w:tc>
            </w:tr>
          </w:tbl>
          <w:p w:rsidR="002F6DAC" w:rsidRDefault="002F6DAC">
            <w:pPr>
              <w:autoSpaceDE w:val="0"/>
              <w:ind w:firstLine="572"/>
              <w:jc w:val="both"/>
              <w:rPr>
                <w:sz w:val="24"/>
                <w:szCs w:val="24"/>
                <w:lang w:eastAsia="ar-SA"/>
              </w:rPr>
            </w:pPr>
          </w:p>
          <w:p w:rsidR="002F6DAC" w:rsidRDefault="002F6DAC">
            <w:pPr>
              <w:autoSpaceDE w:val="0"/>
              <w:ind w:firstLine="572"/>
              <w:jc w:val="both"/>
              <w:rPr>
                <w:sz w:val="24"/>
                <w:szCs w:val="24"/>
              </w:rPr>
            </w:pPr>
            <w:r>
              <w:rPr>
                <w:sz w:val="24"/>
                <w:szCs w:val="24"/>
              </w:rPr>
              <w:t>Начальная (максимальная) цена контракта определена на основании п. 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г. N 567 по формуле:</w:t>
            </w:r>
          </w:p>
          <w:p w:rsidR="002F6DAC" w:rsidRDefault="002F6DAC">
            <w:pPr>
              <w:tabs>
                <w:tab w:val="left" w:pos="708"/>
              </w:tabs>
              <w:snapToGrid w:val="0"/>
              <w:jc w:val="both"/>
              <w:textAlignment w:val="baseline"/>
              <w:rPr>
                <w:rFonts w:eastAsia="Calibri"/>
                <w:kern w:val="2"/>
                <w:sz w:val="24"/>
                <w:szCs w:val="24"/>
              </w:rPr>
            </w:pPr>
            <w:r>
              <w:rPr>
                <w:rFonts w:eastAsia="Calibri"/>
                <w:noProof/>
                <w:kern w:val="2"/>
                <w:position w:val="-20"/>
                <w:sz w:val="24"/>
                <w:szCs w:val="24"/>
              </w:rPr>
              <w:drawing>
                <wp:inline distT="0" distB="0" distL="0" distR="0">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solidFill>
                            <a:srgbClr val="FFFFFF"/>
                          </a:solidFill>
                          <a:ln>
                            <a:noFill/>
                          </a:ln>
                        </pic:spPr>
                      </pic:pic>
                    </a:graphicData>
                  </a:graphic>
                </wp:inline>
              </w:drawing>
            </w:r>
            <w:r>
              <w:rPr>
                <w:rFonts w:eastAsia="Calibri"/>
                <w:kern w:val="2"/>
                <w:sz w:val="24"/>
                <w:szCs w:val="24"/>
              </w:rPr>
              <w:t>,</w:t>
            </w:r>
          </w:p>
          <w:p w:rsidR="002F6DAC" w:rsidRDefault="002F6DAC">
            <w:pPr>
              <w:autoSpaceDE w:val="0"/>
              <w:ind w:firstLine="540"/>
              <w:jc w:val="both"/>
              <w:rPr>
                <w:sz w:val="24"/>
                <w:szCs w:val="24"/>
              </w:rPr>
            </w:pPr>
            <w:r>
              <w:rPr>
                <w:sz w:val="24"/>
                <w:szCs w:val="24"/>
              </w:rPr>
              <w:t>где:</w:t>
            </w:r>
          </w:p>
          <w:p w:rsidR="002F6DAC" w:rsidRDefault="002F6DAC">
            <w:pPr>
              <w:autoSpaceDE w:val="0"/>
              <w:ind w:firstLine="540"/>
              <w:jc w:val="both"/>
              <w:rPr>
                <w:sz w:val="24"/>
                <w:szCs w:val="24"/>
              </w:rPr>
            </w:pPr>
            <w:r>
              <w:rPr>
                <w:noProof/>
                <w:position w:val="-7"/>
                <w:sz w:val="24"/>
                <w:szCs w:val="24"/>
              </w:rPr>
              <w:drawing>
                <wp:inline distT="0" distB="0" distL="0" distR="0">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Pr>
                <w:sz w:val="24"/>
                <w:szCs w:val="24"/>
              </w:rPr>
              <w:t xml:space="preserve"> - начальная (максимальная) цена контракта, определяемая методом сопоставимых рыночных цен (анализа рынка);</w:t>
            </w:r>
          </w:p>
          <w:p w:rsidR="002F6DAC" w:rsidRDefault="002F6DAC">
            <w:pPr>
              <w:autoSpaceDE w:val="0"/>
              <w:ind w:firstLine="540"/>
              <w:jc w:val="both"/>
              <w:rPr>
                <w:sz w:val="24"/>
                <w:szCs w:val="24"/>
              </w:rPr>
            </w:pPr>
            <w:r>
              <w:rPr>
                <w:sz w:val="24"/>
                <w:szCs w:val="24"/>
              </w:rPr>
              <w:t>v - количество (объем) закупаемого товара (работы, услуги);</w:t>
            </w:r>
          </w:p>
          <w:p w:rsidR="002F6DAC" w:rsidRDefault="002F6DAC">
            <w:pPr>
              <w:autoSpaceDE w:val="0"/>
              <w:ind w:firstLine="540"/>
              <w:jc w:val="both"/>
              <w:rPr>
                <w:sz w:val="24"/>
                <w:szCs w:val="24"/>
              </w:rPr>
            </w:pPr>
            <w:r>
              <w:rPr>
                <w:sz w:val="24"/>
                <w:szCs w:val="24"/>
              </w:rPr>
              <w:t>n - количество значений, используемых в расчете;</w:t>
            </w:r>
          </w:p>
          <w:p w:rsidR="002F6DAC" w:rsidRDefault="002F6DAC">
            <w:pPr>
              <w:autoSpaceDE w:val="0"/>
              <w:ind w:firstLine="540"/>
              <w:jc w:val="both"/>
              <w:rPr>
                <w:sz w:val="24"/>
                <w:szCs w:val="24"/>
              </w:rPr>
            </w:pPr>
            <w:r>
              <w:rPr>
                <w:sz w:val="24"/>
                <w:szCs w:val="24"/>
              </w:rPr>
              <w:t>i - номер источника ценовой информации;</w:t>
            </w:r>
          </w:p>
          <w:p w:rsidR="002F6DAC" w:rsidRDefault="002F6DAC">
            <w:pPr>
              <w:shd w:val="clear" w:color="auto" w:fill="FFFFFF"/>
              <w:autoSpaceDE w:val="0"/>
              <w:jc w:val="both"/>
              <w:rPr>
                <w:sz w:val="24"/>
                <w:szCs w:val="24"/>
              </w:rPr>
            </w:pPr>
            <w:r>
              <w:rPr>
                <w:noProof/>
                <w:position w:val="-6"/>
                <w:sz w:val="24"/>
                <w:szCs w:val="24"/>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Pr>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0" w:history="1">
              <w:r>
                <w:rPr>
                  <w:rStyle w:val="af3"/>
                  <w:sz w:val="24"/>
                  <w:szCs w:val="24"/>
                </w:rPr>
                <w:t>пунктом 3.17</w:t>
              </w:r>
            </w:hyperlink>
            <w:r>
              <w:rPr>
                <w:sz w:val="24"/>
                <w:szCs w:val="24"/>
              </w:rPr>
              <w:t xml:space="preserve"> Рекомендаций от 2 октября 2013 г. № 567.</w:t>
            </w:r>
          </w:p>
          <w:p w:rsidR="002F6DAC" w:rsidRDefault="002F6DAC">
            <w:pPr>
              <w:jc w:val="both"/>
              <w:rPr>
                <w:rFonts w:eastAsia="Times New Roman CYR"/>
                <w:b/>
                <w:spacing w:val="-4"/>
                <w:kern w:val="2"/>
                <w:sz w:val="24"/>
                <w:szCs w:val="24"/>
                <w:shd w:val="clear" w:color="auto" w:fill="FFFFFF"/>
              </w:rPr>
            </w:pPr>
            <w:r>
              <w:rPr>
                <w:sz w:val="24"/>
                <w:szCs w:val="24"/>
                <w:shd w:val="clear" w:color="auto" w:fill="FFFFFF"/>
              </w:rPr>
              <w:lastRenderedPageBreak/>
              <w:t xml:space="preserve">Исходя из вышеизложенного, начальная (максимальная) цена контракта </w:t>
            </w:r>
            <w:r>
              <w:rPr>
                <w:iCs/>
                <w:color w:val="000000"/>
                <w:sz w:val="24"/>
                <w:szCs w:val="24"/>
                <w:shd w:val="clear" w:color="auto" w:fill="FFFFFF"/>
              </w:rPr>
              <w:t>н</w:t>
            </w:r>
            <w:r>
              <w:rPr>
                <w:sz w:val="24"/>
                <w:szCs w:val="24"/>
                <w:shd w:val="clear" w:color="auto" w:fill="FFFFFF"/>
              </w:rPr>
              <w:t>а</w:t>
            </w:r>
            <w:r>
              <w:rPr>
                <w:iCs/>
                <w:spacing w:val="-4"/>
                <w:kern w:val="2"/>
                <w:sz w:val="24"/>
                <w:szCs w:val="24"/>
                <w:shd w:val="clear" w:color="auto" w:fill="FFFFFF"/>
              </w:rPr>
              <w:t xml:space="preserve"> </w:t>
            </w:r>
            <w:r>
              <w:rPr>
                <w:rFonts w:eastAsia="Lucida Sans Unicode"/>
                <w:kern w:val="3"/>
                <w:sz w:val="24"/>
                <w:szCs w:val="24"/>
              </w:rPr>
              <w:t>выполнение работ по изготовлению ортопедической обуви для инвалидов в 2019 году</w:t>
            </w:r>
            <w:r>
              <w:rPr>
                <w:b/>
                <w:bCs/>
                <w:sz w:val="24"/>
                <w:szCs w:val="24"/>
              </w:rPr>
              <w:t xml:space="preserve"> –</w:t>
            </w:r>
            <w:r>
              <w:rPr>
                <w:spacing w:val="-4"/>
                <w:kern w:val="2"/>
                <w:sz w:val="24"/>
                <w:szCs w:val="24"/>
                <w:shd w:val="clear" w:color="auto" w:fill="FFFFFF"/>
              </w:rPr>
              <w:t xml:space="preserve"> </w:t>
            </w:r>
            <w:r>
              <w:rPr>
                <w:b/>
                <w:sz w:val="24"/>
                <w:szCs w:val="24"/>
                <w:shd w:val="clear" w:color="auto" w:fill="FFFFFF"/>
              </w:rPr>
              <w:t>2 008 000 (два миллиона восемь тысяч) рублей 00 копеек.</w:t>
            </w:r>
          </w:p>
          <w:p w:rsidR="002F6DAC" w:rsidRDefault="002F6DAC">
            <w:pPr>
              <w:pStyle w:val="ab"/>
              <w:tabs>
                <w:tab w:val="left" w:pos="356"/>
              </w:tabs>
              <w:spacing w:after="0"/>
              <w:rPr>
                <w:rFonts w:eastAsia="Times New Roman CYR"/>
                <w:bCs/>
                <w:spacing w:val="-4"/>
                <w:kern w:val="2"/>
                <w:shd w:val="clear" w:color="auto" w:fill="FFFFFF"/>
              </w:rPr>
            </w:pPr>
            <w:r>
              <w:t>В цену Контракта включаются все расходы Исполнителя, связанные с выполнением работ по изготовлению ортопедической обуви для инвалидов,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r>
              <w:rPr>
                <w:rFonts w:eastAsia="Times New Roman CYR"/>
                <w:bCs/>
                <w:spacing w:val="-4"/>
                <w:kern w:val="2"/>
                <w:shd w:val="clear" w:color="auto" w:fill="FFFFFF"/>
              </w:rPr>
              <w:t>.</w:t>
            </w:r>
          </w:p>
        </w:tc>
      </w:tr>
      <w:tr w:rsidR="002F6DAC" w:rsidTr="002F6DAC">
        <w:tc>
          <w:tcPr>
            <w:tcW w:w="3384" w:type="dxa"/>
            <w:tcBorders>
              <w:top w:val="single" w:sz="4" w:space="0" w:color="000000"/>
              <w:left w:val="single" w:sz="4" w:space="0" w:color="000000"/>
              <w:bottom w:val="single" w:sz="4" w:space="0" w:color="000000"/>
              <w:right w:val="nil"/>
            </w:tcBorders>
            <w:hideMark/>
          </w:tcPr>
          <w:p w:rsidR="002F6DAC" w:rsidRDefault="002F6DAC">
            <w:pPr>
              <w:rPr>
                <w:b/>
                <w:bCs/>
                <w:sz w:val="24"/>
                <w:szCs w:val="24"/>
              </w:rPr>
            </w:pPr>
            <w:r>
              <w:rPr>
                <w:b/>
                <w:bCs/>
                <w:sz w:val="24"/>
                <w:szCs w:val="24"/>
              </w:rPr>
              <w:lastRenderedPageBreak/>
              <w:t>Дата подготовки</w:t>
            </w:r>
          </w:p>
          <w:p w:rsidR="002F6DAC" w:rsidRDefault="002F6DAC">
            <w:pPr>
              <w:rPr>
                <w:b/>
                <w:bCs/>
                <w:sz w:val="24"/>
                <w:szCs w:val="24"/>
              </w:rPr>
            </w:pPr>
            <w:r>
              <w:rPr>
                <w:b/>
                <w:bCs/>
                <w:sz w:val="24"/>
                <w:szCs w:val="24"/>
              </w:rPr>
              <w:t>обоснования НМЦК:</w:t>
            </w:r>
          </w:p>
        </w:tc>
        <w:tc>
          <w:tcPr>
            <w:tcW w:w="7139" w:type="dxa"/>
            <w:tcBorders>
              <w:top w:val="single" w:sz="4" w:space="0" w:color="000000"/>
              <w:left w:val="nil"/>
              <w:bottom w:val="single" w:sz="4" w:space="0" w:color="000000"/>
              <w:right w:val="single" w:sz="4" w:space="0" w:color="000000"/>
            </w:tcBorders>
            <w:hideMark/>
          </w:tcPr>
          <w:p w:rsidR="002F6DAC" w:rsidRDefault="002F6DAC">
            <w:pPr>
              <w:rPr>
                <w:sz w:val="24"/>
                <w:szCs w:val="24"/>
              </w:rPr>
            </w:pPr>
            <w:r>
              <w:rPr>
                <w:b/>
                <w:bCs/>
                <w:sz w:val="24"/>
                <w:szCs w:val="24"/>
              </w:rPr>
              <w:t>24.05.2019</w:t>
            </w:r>
          </w:p>
        </w:tc>
      </w:tr>
    </w:tbl>
    <w:p w:rsidR="00E25E69" w:rsidRPr="002F6DAC" w:rsidRDefault="00E25E69" w:rsidP="002F6DAC">
      <w:bookmarkStart w:id="0" w:name="_GoBack"/>
      <w:bookmarkEnd w:id="0"/>
    </w:p>
    <w:sectPr w:rsidR="00E25E69" w:rsidRPr="002F6DAC" w:rsidSect="008B3E8A">
      <w:headerReference w:type="even" r:id="rId11"/>
      <w:headerReference w:type="default" r:id="rId12"/>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EB" w:rsidRDefault="00D367EB">
      <w:r>
        <w:separator/>
      </w:r>
    </w:p>
  </w:endnote>
  <w:endnote w:type="continuationSeparator" w:id="0">
    <w:p w:rsidR="00D367EB" w:rsidRDefault="00D3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EB" w:rsidRDefault="00D367EB">
      <w:r>
        <w:separator/>
      </w:r>
    </w:p>
  </w:footnote>
  <w:footnote w:type="continuationSeparator" w:id="0">
    <w:p w:rsidR="00D367EB" w:rsidRDefault="00D3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D367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D367EB">
    <w:pPr>
      <w:pStyle w:val="a7"/>
      <w:framePr w:wrap="around" w:vAnchor="text" w:hAnchor="margin" w:xAlign="center" w:y="1"/>
      <w:rPr>
        <w:rStyle w:val="a6"/>
        <w:sz w:val="16"/>
        <w:szCs w:val="16"/>
      </w:rPr>
    </w:pPr>
  </w:p>
  <w:p w:rsidR="0054312B" w:rsidRPr="00D0381B" w:rsidRDefault="00D367EB"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0"/>
  </w:num>
  <w:num w:numId="5">
    <w:abstractNumId w:val="7"/>
  </w:num>
  <w:num w:numId="6">
    <w:abstractNumId w:val="13"/>
  </w:num>
  <w:num w:numId="7">
    <w:abstractNumId w:val="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1"/>
  </w:num>
  <w:num w:numId="13">
    <w:abstractNumId w:val="8"/>
  </w:num>
  <w:num w:numId="14">
    <w:abstractNumId w:val="19"/>
  </w:num>
  <w:num w:numId="15">
    <w:abstractNumId w:val="15"/>
  </w:num>
  <w:num w:numId="16">
    <w:abstractNumId w:val="6"/>
  </w:num>
  <w:num w:numId="17">
    <w:abstractNumId w:val="11"/>
  </w:num>
  <w:num w:numId="18">
    <w:abstractNumId w:val="12"/>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CB71A3037B750F407795F07FDAA70E40AFC2E9EE442AEE18B451081C936A7A281FEBC60C70FDFB0jCNA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11</cp:revision>
  <dcterms:created xsi:type="dcterms:W3CDTF">2019-05-13T12:37:00Z</dcterms:created>
  <dcterms:modified xsi:type="dcterms:W3CDTF">2019-05-28T10:13:00Z</dcterms:modified>
</cp:coreProperties>
</file>