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7" w:rsidRPr="000E0296" w:rsidRDefault="00EB5177" w:rsidP="00C12E83">
      <w:pPr>
        <w:pStyle w:val="3"/>
        <w:widowControl w:val="0"/>
      </w:pPr>
      <w:r w:rsidRPr="000E0296">
        <w:t>Техническое задание</w:t>
      </w:r>
    </w:p>
    <w:p w:rsidR="003D4B02" w:rsidRPr="000E0296" w:rsidRDefault="00551C7C" w:rsidP="008B4BB8">
      <w:pPr>
        <w:pStyle w:val="a3"/>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9C63F8" w:rsidRDefault="00551C7C" w:rsidP="008B4BB8">
      <w:pPr>
        <w:pStyle w:val="a3"/>
        <w:tabs>
          <w:tab w:val="left" w:pos="8780"/>
        </w:tabs>
        <w:ind w:left="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3607E6">
        <w:rPr>
          <w:bCs/>
        </w:rPr>
        <w:t>В</w:t>
      </w:r>
      <w:r w:rsidR="003607E6" w:rsidRPr="0050110B">
        <w:rPr>
          <w:bCs/>
        </w:rPr>
        <w:t>ыполнение работ</w:t>
      </w:r>
      <w:r w:rsidR="003607E6">
        <w:rPr>
          <w:b/>
          <w:bCs/>
        </w:rPr>
        <w:t xml:space="preserve"> </w:t>
      </w:r>
      <w:r w:rsidR="003607E6">
        <w:rPr>
          <w:rFonts w:eastAsia="Arial Unicode MS"/>
          <w:bCs/>
          <w:szCs w:val="20"/>
        </w:rPr>
        <w:t xml:space="preserve">по изготовлению </w:t>
      </w:r>
      <w:r w:rsidR="003607E6" w:rsidRPr="002C6407">
        <w:t>протез</w:t>
      </w:r>
      <w:r w:rsidR="003607E6">
        <w:t>ов</w:t>
      </w:r>
      <w:r w:rsidR="003607E6" w:rsidRPr="002C6407">
        <w:t xml:space="preserve"> нижн</w:t>
      </w:r>
      <w:r w:rsidR="003607E6">
        <w:t xml:space="preserve">их </w:t>
      </w:r>
      <w:r w:rsidR="003607E6" w:rsidRPr="002C6407">
        <w:t>конечност</w:t>
      </w:r>
      <w:r w:rsidR="003607E6">
        <w:t>ей</w:t>
      </w:r>
      <w:r w:rsidR="003607E6">
        <w:rPr>
          <w:bCs/>
          <w:szCs w:val="28"/>
        </w:rPr>
        <w:t xml:space="preserve"> </w:t>
      </w:r>
      <w:r w:rsidR="003607E6">
        <w:t>для застрахованных лиц, пострадавших вследствие несчастных случаев на производстве и профессиональных заболеваний</w:t>
      </w:r>
      <w:r w:rsidR="009C63F8">
        <w:t>.</w:t>
      </w:r>
    </w:p>
    <w:p w:rsidR="00EB5177" w:rsidRPr="000E0296" w:rsidRDefault="00551C7C" w:rsidP="008B4BB8">
      <w:pPr>
        <w:pStyle w:val="a3"/>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8B4BB8">
        <w:t>5</w:t>
      </w:r>
      <w:r w:rsidR="00F21818">
        <w:t xml:space="preserve"> </w:t>
      </w:r>
      <w:r w:rsidR="002E5E84">
        <w:t>штук</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8B4BB8">
      <w:pPr>
        <w:pStyle w:val="ConsPlusNormal"/>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w:t>
      </w:r>
      <w:r w:rsidR="00992573">
        <w:rPr>
          <w:rFonts w:ascii="Times New Roman" w:hAnsi="Times New Roman" w:cs="Times New Roman"/>
          <w:bCs/>
          <w:sz w:val="24"/>
        </w:rPr>
        <w:t>д</w:t>
      </w:r>
      <w:r w:rsidR="00DC2CF0" w:rsidRPr="000E0296">
        <w:rPr>
          <w:rFonts w:ascii="Times New Roman" w:hAnsi="Times New Roman" w:cs="Times New Roman"/>
          <w:bCs/>
          <w:sz w:val="24"/>
        </w:rPr>
        <w:t>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2044E6">
        <w:rPr>
          <w:rFonts w:ascii="Times New Roman" w:hAnsi="Times New Roman" w:cs="Times New Roman"/>
          <w:bCs/>
          <w:sz w:val="24"/>
          <w:szCs w:val="24"/>
        </w:rPr>
        <w:t>29</w:t>
      </w:r>
      <w:r w:rsidR="00DC2CF0" w:rsidRPr="000E0296">
        <w:rPr>
          <w:rFonts w:ascii="Times New Roman" w:hAnsi="Times New Roman" w:cs="Times New Roman"/>
          <w:bCs/>
          <w:sz w:val="24"/>
          <w:szCs w:val="24"/>
        </w:rPr>
        <w:t>» декабря 201</w:t>
      </w:r>
      <w:r w:rsidR="00836CD9">
        <w:rPr>
          <w:rFonts w:ascii="Times New Roman" w:hAnsi="Times New Roman" w:cs="Times New Roman"/>
          <w:bCs/>
          <w:sz w:val="24"/>
          <w:szCs w:val="24"/>
        </w:rPr>
        <w:t>9</w:t>
      </w:r>
      <w:r w:rsidR="00DC2CF0" w:rsidRPr="000E0296">
        <w:rPr>
          <w:rFonts w:ascii="Times New Roman" w:hAnsi="Times New Roman" w:cs="Times New Roman"/>
          <w:bCs/>
          <w:sz w:val="24"/>
          <w:szCs w:val="24"/>
        </w:rPr>
        <w:t xml:space="preserve"> года включительно, а в рамках взаиморасчетов до полного исполнения Сторонами своих обязательств. </w:t>
      </w:r>
    </w:p>
    <w:p w:rsidR="00DC2CF0" w:rsidRPr="000E0296" w:rsidRDefault="00DC2CF0" w:rsidP="008B4BB8">
      <w:pPr>
        <w:widowControl w:val="0"/>
        <w:jc w:val="both"/>
        <w:rPr>
          <w:bCs/>
          <w:sz w:val="2"/>
          <w:szCs w:val="2"/>
        </w:rPr>
      </w:pPr>
      <w:r w:rsidRPr="000E0296">
        <w:rPr>
          <w:bCs/>
        </w:rPr>
        <w:t xml:space="preserve"> </w:t>
      </w:r>
    </w:p>
    <w:p w:rsidR="00551C7C" w:rsidRPr="000E0296" w:rsidRDefault="00551C7C" w:rsidP="008B4BB8">
      <w:pPr>
        <w:pStyle w:val="ConsPlusNormal"/>
        <w:ind w:firstLine="0"/>
        <w:jc w:val="both"/>
        <w:rPr>
          <w:rFonts w:ascii="Times New Roman" w:hAnsi="Times New Roman" w:cs="Times New Roman"/>
          <w:bCs/>
          <w:sz w:val="2"/>
          <w:szCs w:val="2"/>
        </w:rPr>
      </w:pPr>
    </w:p>
    <w:p w:rsidR="003F1547" w:rsidRPr="000E0296" w:rsidRDefault="003F1547" w:rsidP="008B4BB8">
      <w:pPr>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2044E6">
        <w:rPr>
          <w:bCs/>
          <w:szCs w:val="26"/>
        </w:rPr>
        <w:t>17</w:t>
      </w:r>
      <w:r w:rsidR="00DC2CF0" w:rsidRPr="000E0296">
        <w:rPr>
          <w:bCs/>
          <w:szCs w:val="26"/>
        </w:rPr>
        <w:t>» декабря 201</w:t>
      </w:r>
      <w:r w:rsidR="00836CD9">
        <w:rPr>
          <w:bCs/>
          <w:szCs w:val="26"/>
        </w:rPr>
        <w:t>9</w:t>
      </w:r>
      <w:r w:rsidR="00DC2CF0" w:rsidRPr="000E0296">
        <w:rPr>
          <w:bCs/>
          <w:szCs w:val="26"/>
        </w:rPr>
        <w:t xml:space="preserve"> года.</w:t>
      </w:r>
    </w:p>
    <w:p w:rsidR="00EB5177" w:rsidRPr="000E0296" w:rsidRDefault="003F1547" w:rsidP="008B4BB8">
      <w:pPr>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8B4BB8">
      <w:pPr>
        <w:pStyle w:val="a3"/>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8B4BB8">
      <w:pPr>
        <w:pStyle w:val="ConsPlusNormal"/>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8B4BB8">
        <w:rPr>
          <w:rFonts w:ascii="Times New Roman" w:hAnsi="Times New Roman" w:cs="Times New Roman"/>
          <w:sz w:val="24"/>
          <w:szCs w:val="18"/>
        </w:rPr>
        <w:t>1 860 666</w:t>
      </w:r>
      <w:r w:rsidR="003270D1">
        <w:rPr>
          <w:rFonts w:ascii="Times New Roman" w:hAnsi="Times New Roman" w:cs="Times New Roman"/>
          <w:sz w:val="24"/>
          <w:szCs w:val="18"/>
        </w:rPr>
        <w:t xml:space="preserve"> </w:t>
      </w:r>
      <w:r w:rsidRPr="000E0296">
        <w:rPr>
          <w:rFonts w:ascii="Times New Roman" w:hAnsi="Times New Roman" w:cs="Times New Roman"/>
          <w:sz w:val="24"/>
        </w:rPr>
        <w:t>руб</w:t>
      </w:r>
      <w:r w:rsidR="002E5E84">
        <w:rPr>
          <w:rFonts w:ascii="Times New Roman" w:hAnsi="Times New Roman" w:cs="Times New Roman"/>
          <w:sz w:val="24"/>
        </w:rPr>
        <w:t>.</w:t>
      </w:r>
      <w:r w:rsidR="00837ED3">
        <w:rPr>
          <w:rFonts w:ascii="Times New Roman" w:hAnsi="Times New Roman" w:cs="Times New Roman"/>
          <w:sz w:val="24"/>
        </w:rPr>
        <w:t>67</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C12E83" w:rsidRPr="00707C54" w:rsidRDefault="00380817" w:rsidP="008B4BB8">
      <w:pPr>
        <w:jc w:val="both"/>
      </w:pPr>
      <w:r w:rsidRPr="000E0296">
        <w:rPr>
          <w:b/>
          <w:bCs/>
          <w:iCs/>
          <w:kern w:val="16"/>
        </w:rPr>
        <w:t xml:space="preserve">9. Порядок формирование цены Контракта: </w:t>
      </w:r>
      <w:proofErr w:type="gramStart"/>
      <w:r w:rsidR="00C12E83" w:rsidRPr="00707C54">
        <w:t>Цена контракта включает в себя все расходы Исполнителя на выполнить работы по изготовлению Изделий застрахованным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roofErr w:type="gramEnd"/>
      <w:r w:rsidR="00C12E83" w:rsidRPr="00707C54">
        <w:t>.</w:t>
      </w:r>
    </w:p>
    <w:p w:rsidR="00380817" w:rsidRDefault="00380817" w:rsidP="008B4BB8">
      <w:pPr>
        <w:pStyle w:val="ConsPlusNormal"/>
        <w:ind w:firstLine="0"/>
        <w:jc w:val="both"/>
        <w:rPr>
          <w:rFonts w:ascii="Times New Roman" w:hAnsi="Times New Roman" w:cs="Times New Roman"/>
          <w:sz w:val="24"/>
          <w:szCs w:val="24"/>
        </w:rPr>
      </w:pPr>
      <w:r w:rsidRPr="000E0296">
        <w:rPr>
          <w:rFonts w:ascii="Times New Roman" w:hAnsi="Times New Roman" w:cs="Times New Roman"/>
          <w:b/>
          <w:sz w:val="24"/>
          <w:szCs w:val="24"/>
        </w:rPr>
        <w:t>10.</w:t>
      </w:r>
      <w:r w:rsidRPr="000E0296">
        <w:rPr>
          <w:rFonts w:ascii="Times New Roman" w:hAnsi="Times New Roman" w:cs="Times New Roman"/>
          <w:sz w:val="24"/>
          <w:szCs w:val="24"/>
        </w:rPr>
        <w:t xml:space="preserve"> </w:t>
      </w:r>
      <w:r w:rsidRPr="000E0296">
        <w:rPr>
          <w:rFonts w:ascii="Times New Roman" w:hAnsi="Times New Roman" w:cs="Times New Roman"/>
          <w:b/>
          <w:sz w:val="24"/>
          <w:szCs w:val="24"/>
        </w:rPr>
        <w:t>Требование обеспечения исполнения контракта:</w:t>
      </w:r>
      <w:r w:rsidRPr="000E0296">
        <w:rPr>
          <w:rFonts w:ascii="Times New Roman" w:hAnsi="Times New Roman" w:cs="Times New Roman"/>
          <w:sz w:val="24"/>
          <w:szCs w:val="24"/>
        </w:rPr>
        <w:t xml:space="preserve"> размер обеспечения составляет </w:t>
      </w:r>
      <w:r w:rsidR="002044E6">
        <w:rPr>
          <w:rFonts w:ascii="Times New Roman" w:hAnsi="Times New Roman" w:cs="Times New Roman"/>
          <w:sz w:val="24"/>
          <w:szCs w:val="24"/>
        </w:rPr>
        <w:t>5</w:t>
      </w:r>
      <w:r w:rsidRPr="000E0296">
        <w:rPr>
          <w:rFonts w:ascii="Times New Roman" w:hAnsi="Times New Roman" w:cs="Times New Roman"/>
          <w:sz w:val="24"/>
          <w:szCs w:val="24"/>
        </w:rPr>
        <w:t xml:space="preserve">% от начальной (максимальной) цены контракты и составляет </w:t>
      </w:r>
      <w:r w:rsidR="008B4BB8">
        <w:rPr>
          <w:rFonts w:ascii="Times New Roman" w:hAnsi="Times New Roman" w:cs="Times New Roman"/>
          <w:sz w:val="24"/>
          <w:szCs w:val="24"/>
        </w:rPr>
        <w:t xml:space="preserve">93 033 </w:t>
      </w:r>
      <w:r w:rsidRPr="000E0296">
        <w:rPr>
          <w:rFonts w:ascii="Times New Roman" w:hAnsi="Times New Roman" w:cs="Times New Roman"/>
          <w:sz w:val="24"/>
          <w:szCs w:val="24"/>
        </w:rPr>
        <w:t>руб.</w:t>
      </w:r>
      <w:r w:rsidR="008B4BB8">
        <w:rPr>
          <w:rFonts w:ascii="Times New Roman" w:hAnsi="Times New Roman" w:cs="Times New Roman"/>
          <w:sz w:val="24"/>
          <w:szCs w:val="24"/>
        </w:rPr>
        <w:t>3</w:t>
      </w:r>
      <w:r w:rsidR="00837ED3">
        <w:rPr>
          <w:rFonts w:ascii="Times New Roman" w:hAnsi="Times New Roman" w:cs="Times New Roman"/>
          <w:sz w:val="24"/>
          <w:szCs w:val="24"/>
        </w:rPr>
        <w:t>3</w:t>
      </w:r>
      <w:r w:rsidR="003270D1">
        <w:rPr>
          <w:rFonts w:ascii="Times New Roman" w:hAnsi="Times New Roman" w:cs="Times New Roman"/>
          <w:sz w:val="24"/>
          <w:szCs w:val="24"/>
        </w:rPr>
        <w:t xml:space="preserve"> коп.</w:t>
      </w:r>
    </w:p>
    <w:p w:rsidR="00E62F03" w:rsidRDefault="00E62F03" w:rsidP="008B4BB8">
      <w:pPr>
        <w:widowControl w:val="0"/>
        <w:shd w:val="clear" w:color="auto" w:fill="FFFFFF"/>
        <w:jc w:val="right"/>
        <w:rPr>
          <w:color w:val="000000"/>
          <w:spacing w:val="-1"/>
          <w:sz w:val="23"/>
        </w:rPr>
      </w:pPr>
      <w:r>
        <w:rPr>
          <w:color w:val="000000"/>
          <w:spacing w:val="-1"/>
          <w:sz w:val="23"/>
        </w:rPr>
        <w:t>Таблица №1</w:t>
      </w:r>
    </w:p>
    <w:tbl>
      <w:tblPr>
        <w:tblW w:w="105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7042"/>
        <w:gridCol w:w="1179"/>
        <w:gridCol w:w="770"/>
      </w:tblGrid>
      <w:tr w:rsidR="00E62F03" w:rsidTr="00831852">
        <w:tblPrEx>
          <w:tblCellMar>
            <w:top w:w="0" w:type="dxa"/>
            <w:bottom w:w="0" w:type="dxa"/>
          </w:tblCellMar>
        </w:tblPrEx>
        <w:trPr>
          <w:trHeight w:val="326"/>
        </w:trPr>
        <w:tc>
          <w:tcPr>
            <w:tcW w:w="1598" w:type="dxa"/>
            <w:vAlign w:val="center"/>
          </w:tcPr>
          <w:p w:rsidR="00E62F03" w:rsidRDefault="00E62F03" w:rsidP="008B4BB8">
            <w:pPr>
              <w:widowControl w:val="0"/>
              <w:jc w:val="center"/>
              <w:rPr>
                <w:b/>
                <w:bCs/>
                <w:sz w:val="16"/>
                <w:szCs w:val="22"/>
              </w:rPr>
            </w:pPr>
            <w:r>
              <w:rPr>
                <w:b/>
                <w:bCs/>
                <w:sz w:val="16"/>
                <w:szCs w:val="22"/>
              </w:rPr>
              <w:br w:type="page"/>
              <w:t>Наименование Изделий</w:t>
            </w:r>
          </w:p>
        </w:tc>
        <w:tc>
          <w:tcPr>
            <w:tcW w:w="7042" w:type="dxa"/>
            <w:vAlign w:val="center"/>
          </w:tcPr>
          <w:p w:rsidR="00E62F03" w:rsidRDefault="00E62F03" w:rsidP="008B4BB8">
            <w:pPr>
              <w:pStyle w:val="2"/>
              <w:keepNext w:val="0"/>
              <w:widowControl w:val="0"/>
              <w:rPr>
                <w:b/>
                <w:bCs/>
                <w:sz w:val="20"/>
              </w:rPr>
            </w:pPr>
            <w:r>
              <w:rPr>
                <w:b/>
                <w:bCs/>
                <w:sz w:val="20"/>
              </w:rPr>
              <w:t>Описание функциональных и технических характеристик</w:t>
            </w:r>
          </w:p>
        </w:tc>
        <w:tc>
          <w:tcPr>
            <w:tcW w:w="1179" w:type="dxa"/>
            <w:vAlign w:val="center"/>
          </w:tcPr>
          <w:p w:rsidR="00E62F03" w:rsidRDefault="00E62F03" w:rsidP="008B4BB8">
            <w:pPr>
              <w:widowControl w:val="0"/>
              <w:jc w:val="center"/>
              <w:rPr>
                <w:b/>
                <w:bCs/>
                <w:sz w:val="16"/>
                <w:szCs w:val="22"/>
              </w:rPr>
            </w:pPr>
            <w:r>
              <w:rPr>
                <w:b/>
                <w:bCs/>
                <w:sz w:val="16"/>
                <w:szCs w:val="22"/>
              </w:rPr>
              <w:t>Начальная /максимальная Цена за ед. изделия</w:t>
            </w:r>
          </w:p>
          <w:p w:rsidR="00E62F03" w:rsidRDefault="00E62F03" w:rsidP="008B4BB8">
            <w:pPr>
              <w:widowControl w:val="0"/>
              <w:jc w:val="center"/>
              <w:rPr>
                <w:b/>
                <w:bCs/>
                <w:sz w:val="16"/>
                <w:szCs w:val="22"/>
              </w:rPr>
            </w:pPr>
            <w:r>
              <w:rPr>
                <w:b/>
                <w:bCs/>
                <w:sz w:val="16"/>
                <w:szCs w:val="22"/>
              </w:rPr>
              <w:t>(руб.)</w:t>
            </w:r>
          </w:p>
        </w:tc>
        <w:tc>
          <w:tcPr>
            <w:tcW w:w="770" w:type="dxa"/>
            <w:vAlign w:val="center"/>
          </w:tcPr>
          <w:p w:rsidR="00E62F03" w:rsidRDefault="00E62F03" w:rsidP="00567308">
            <w:pPr>
              <w:widowControl w:val="0"/>
              <w:jc w:val="center"/>
              <w:rPr>
                <w:b/>
                <w:bCs/>
                <w:sz w:val="16"/>
                <w:szCs w:val="22"/>
              </w:rPr>
            </w:pPr>
            <w:r>
              <w:rPr>
                <w:b/>
                <w:bCs/>
                <w:sz w:val="16"/>
                <w:szCs w:val="22"/>
              </w:rPr>
              <w:t>Кол-во изделий (шт.)</w:t>
            </w:r>
          </w:p>
        </w:tc>
      </w:tr>
      <w:tr w:rsidR="00567308" w:rsidTr="00AE6FD6">
        <w:tblPrEx>
          <w:tblCellMar>
            <w:top w:w="0" w:type="dxa"/>
            <w:bottom w:w="0" w:type="dxa"/>
          </w:tblCellMar>
        </w:tblPrEx>
        <w:trPr>
          <w:trHeight w:val="326"/>
        </w:trPr>
        <w:tc>
          <w:tcPr>
            <w:tcW w:w="1598" w:type="dxa"/>
            <w:vAlign w:val="center"/>
          </w:tcPr>
          <w:p w:rsidR="00567308" w:rsidRPr="004B4453" w:rsidRDefault="00567308" w:rsidP="00567308">
            <w:pPr>
              <w:widowControl w:val="0"/>
              <w:shd w:val="clear" w:color="auto" w:fill="FFFFFF"/>
              <w:autoSpaceDE w:val="0"/>
              <w:autoSpaceDN w:val="0"/>
              <w:adjustRightInd w:val="0"/>
              <w:jc w:val="center"/>
              <w:rPr>
                <w:b/>
                <w:bCs/>
              </w:rPr>
            </w:pPr>
            <w:r w:rsidRPr="004B4453">
              <w:t>Протез</w:t>
            </w:r>
            <w:r>
              <w:t xml:space="preserve"> </w:t>
            </w:r>
            <w:r w:rsidRPr="004B4453">
              <w:t xml:space="preserve">голени </w:t>
            </w:r>
          </w:p>
        </w:tc>
        <w:tc>
          <w:tcPr>
            <w:tcW w:w="7042" w:type="dxa"/>
          </w:tcPr>
          <w:p w:rsidR="00567308" w:rsidRDefault="00567308" w:rsidP="00567308">
            <w:pPr>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при помощи активного вакуума, с дополнительным креплением полимерным наколенником. Должен быть вкладной элемент в гильзу - полимерный чехол. Регулировочно – соединительные устройства должны соответствовать весовым и нагрузочным параметрам пациента. Стопа должна быть из углепластика, с расщепленной носочной и пяточной частью, с интегрированным насосом для создания в приемной гильзе активного вакуума, с дополнительной амортизацией толчков и крутильной жесткостью.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567308" w:rsidRPr="008B4BB8" w:rsidRDefault="00567308" w:rsidP="00837ED3">
            <w:pPr>
              <w:widowControl w:val="0"/>
              <w:ind w:left="-63" w:right="-108"/>
              <w:jc w:val="center"/>
              <w:rPr>
                <w:bCs/>
              </w:rPr>
            </w:pPr>
            <w:r>
              <w:rPr>
                <w:bCs/>
              </w:rPr>
              <w:t>628366,6</w:t>
            </w:r>
            <w:r w:rsidR="00837ED3">
              <w:rPr>
                <w:bCs/>
              </w:rPr>
              <w:t>7</w:t>
            </w:r>
          </w:p>
        </w:tc>
        <w:tc>
          <w:tcPr>
            <w:tcW w:w="770" w:type="dxa"/>
            <w:vAlign w:val="center"/>
          </w:tcPr>
          <w:p w:rsidR="00567308" w:rsidRPr="008B4BB8" w:rsidRDefault="00567308" w:rsidP="00567308">
            <w:pPr>
              <w:widowControl w:val="0"/>
              <w:jc w:val="center"/>
              <w:rPr>
                <w:bCs/>
              </w:rPr>
            </w:pPr>
            <w:r>
              <w:rPr>
                <w:bCs/>
              </w:rPr>
              <w:t>1</w:t>
            </w:r>
          </w:p>
        </w:tc>
      </w:tr>
      <w:tr w:rsidR="00567308" w:rsidTr="00AE6FD6">
        <w:tblPrEx>
          <w:tblCellMar>
            <w:top w:w="0" w:type="dxa"/>
            <w:bottom w:w="0" w:type="dxa"/>
          </w:tblCellMar>
        </w:tblPrEx>
        <w:trPr>
          <w:trHeight w:val="326"/>
        </w:trPr>
        <w:tc>
          <w:tcPr>
            <w:tcW w:w="1598" w:type="dxa"/>
            <w:vAlign w:val="center"/>
          </w:tcPr>
          <w:p w:rsidR="00567308" w:rsidRPr="004B4453" w:rsidRDefault="00567308" w:rsidP="00567308">
            <w:pPr>
              <w:widowControl w:val="0"/>
              <w:shd w:val="clear" w:color="auto" w:fill="FFFFFF"/>
              <w:autoSpaceDE w:val="0"/>
              <w:autoSpaceDN w:val="0"/>
              <w:adjustRightInd w:val="0"/>
              <w:jc w:val="center"/>
            </w:pPr>
            <w:r w:rsidRPr="004B4453">
              <w:t>Протез</w:t>
            </w:r>
            <w:r>
              <w:t xml:space="preserve"> </w:t>
            </w:r>
            <w:r w:rsidRPr="004B4453">
              <w:t>голени</w:t>
            </w:r>
          </w:p>
        </w:tc>
        <w:tc>
          <w:tcPr>
            <w:tcW w:w="7042" w:type="dxa"/>
          </w:tcPr>
          <w:p w:rsidR="00567308" w:rsidRDefault="00567308" w:rsidP="00567308">
            <w:pPr>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Регулировочно – соединительные устройства должны соответствовать весовым и нагрузочным параметрам пациента. Вкладная гильза должна быть из вспененных материалов. Крепление на пациенте должно быть вакуумное, при помощи полимерного наколенника. Стопа должна быть из углепластика, с расщепленной носочной частью и пяточной частью. Косметическая оболочка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567308" w:rsidRPr="008B4BB8" w:rsidRDefault="00947AD4" w:rsidP="00837ED3">
            <w:pPr>
              <w:widowControl w:val="0"/>
              <w:ind w:left="-63" w:right="-108"/>
              <w:jc w:val="center"/>
              <w:rPr>
                <w:bCs/>
              </w:rPr>
            </w:pPr>
            <w:r>
              <w:rPr>
                <w:bCs/>
              </w:rPr>
              <w:t>404800,0</w:t>
            </w:r>
            <w:r w:rsidR="00837ED3">
              <w:rPr>
                <w:bCs/>
              </w:rPr>
              <w:t>0</w:t>
            </w:r>
          </w:p>
        </w:tc>
        <w:tc>
          <w:tcPr>
            <w:tcW w:w="770" w:type="dxa"/>
            <w:vAlign w:val="center"/>
          </w:tcPr>
          <w:p w:rsidR="00567308" w:rsidRPr="008B4BB8" w:rsidRDefault="00567308" w:rsidP="00567308">
            <w:pPr>
              <w:widowControl w:val="0"/>
              <w:jc w:val="center"/>
              <w:rPr>
                <w:bCs/>
              </w:rPr>
            </w:pPr>
            <w:r>
              <w:rPr>
                <w:bCs/>
              </w:rPr>
              <w:t>1</w:t>
            </w:r>
          </w:p>
        </w:tc>
      </w:tr>
      <w:tr w:rsidR="00567308" w:rsidTr="00AE6FD6">
        <w:tblPrEx>
          <w:tblCellMar>
            <w:top w:w="0" w:type="dxa"/>
            <w:bottom w:w="0" w:type="dxa"/>
          </w:tblCellMar>
        </w:tblPrEx>
        <w:trPr>
          <w:trHeight w:val="326"/>
        </w:trPr>
        <w:tc>
          <w:tcPr>
            <w:tcW w:w="1598" w:type="dxa"/>
            <w:vAlign w:val="center"/>
          </w:tcPr>
          <w:p w:rsidR="00567308" w:rsidRPr="004B4453" w:rsidRDefault="00567308" w:rsidP="00567308">
            <w:pPr>
              <w:widowControl w:val="0"/>
              <w:shd w:val="clear" w:color="auto" w:fill="FFFFFF"/>
              <w:autoSpaceDE w:val="0"/>
              <w:autoSpaceDN w:val="0"/>
              <w:adjustRightInd w:val="0"/>
              <w:jc w:val="center"/>
            </w:pPr>
            <w:r w:rsidRPr="004B4453">
              <w:t>Протез</w:t>
            </w:r>
            <w:r>
              <w:t xml:space="preserve"> </w:t>
            </w:r>
            <w:r w:rsidRPr="004B4453">
              <w:t>голени</w:t>
            </w:r>
          </w:p>
        </w:tc>
        <w:tc>
          <w:tcPr>
            <w:tcW w:w="7042" w:type="dxa"/>
          </w:tcPr>
          <w:p w:rsidR="00567308" w:rsidRDefault="00567308" w:rsidP="00567308">
            <w:pPr>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Формообразующая часть косметической оболочки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 xml:space="preserve">. Материал постоянной гильзы должен быть литьевой слоистый пластик на основе акриловых смол. Вкладная гильза должна быть из вспененных материалов. Крепление на пациенте должно быть вакуумное, при помощи полимерного наколенника. Должно </w:t>
            </w:r>
            <w:proofErr w:type="gramStart"/>
            <w:r>
              <w:rPr>
                <w:color w:val="000000"/>
                <w:sz w:val="20"/>
              </w:rPr>
              <w:t>быть</w:t>
            </w:r>
            <w:proofErr w:type="gramEnd"/>
            <w:r>
              <w:rPr>
                <w:color w:val="000000"/>
                <w:sz w:val="20"/>
              </w:rPr>
              <w:t xml:space="preserve"> изготовление пробных гильз из термопласта. Регулировочно – соединительные устройства </w:t>
            </w:r>
            <w:r>
              <w:rPr>
                <w:color w:val="000000"/>
                <w:sz w:val="20"/>
              </w:rPr>
              <w:lastRenderedPageBreak/>
              <w:t xml:space="preserve">должны соответствовать весовым и нагрузочным параметрам пациента. Стопа должна быть низкопрофильная, с </w:t>
            </w:r>
            <w:proofErr w:type="spellStart"/>
            <w:r>
              <w:rPr>
                <w:color w:val="000000"/>
                <w:sz w:val="20"/>
              </w:rPr>
              <w:t>углепластиковым</w:t>
            </w:r>
            <w:proofErr w:type="spellEnd"/>
            <w:r>
              <w:rPr>
                <w:color w:val="000000"/>
                <w:sz w:val="20"/>
              </w:rPr>
              <w:t xml:space="preserve"> опорным модулем, иметь улучшенные демпферные качества в фазе переднего толчка, облегченный и плавный перекат. Конструктивное исполнение переднего упругого элемента должно обеспечивать повышенную устойчивость в фазе опоры на всю стопу и рекуперацию энергии в фазе заднего толчка.</w:t>
            </w:r>
          </w:p>
        </w:tc>
        <w:tc>
          <w:tcPr>
            <w:tcW w:w="1179" w:type="dxa"/>
            <w:vAlign w:val="center"/>
          </w:tcPr>
          <w:p w:rsidR="00567308" w:rsidRPr="008B4BB8" w:rsidRDefault="00947AD4" w:rsidP="00837ED3">
            <w:pPr>
              <w:widowControl w:val="0"/>
              <w:ind w:left="-63" w:right="-108"/>
              <w:jc w:val="center"/>
              <w:rPr>
                <w:bCs/>
              </w:rPr>
            </w:pPr>
            <w:r>
              <w:rPr>
                <w:bCs/>
              </w:rPr>
              <w:lastRenderedPageBreak/>
              <w:t>264333,3</w:t>
            </w:r>
            <w:r w:rsidR="00837ED3">
              <w:rPr>
                <w:bCs/>
              </w:rPr>
              <w:t>3</w:t>
            </w:r>
          </w:p>
        </w:tc>
        <w:tc>
          <w:tcPr>
            <w:tcW w:w="770" w:type="dxa"/>
            <w:vAlign w:val="center"/>
          </w:tcPr>
          <w:p w:rsidR="00567308" w:rsidRPr="008B4BB8" w:rsidRDefault="00567308" w:rsidP="00567308">
            <w:pPr>
              <w:widowControl w:val="0"/>
              <w:jc w:val="center"/>
              <w:rPr>
                <w:bCs/>
              </w:rPr>
            </w:pPr>
            <w:r>
              <w:rPr>
                <w:bCs/>
              </w:rPr>
              <w:t>1</w:t>
            </w:r>
          </w:p>
        </w:tc>
      </w:tr>
      <w:tr w:rsidR="00567308" w:rsidTr="00AE6FD6">
        <w:tblPrEx>
          <w:tblCellMar>
            <w:top w:w="0" w:type="dxa"/>
            <w:bottom w:w="0" w:type="dxa"/>
          </w:tblCellMar>
        </w:tblPrEx>
        <w:trPr>
          <w:trHeight w:val="326"/>
        </w:trPr>
        <w:tc>
          <w:tcPr>
            <w:tcW w:w="1598" w:type="dxa"/>
            <w:vAlign w:val="center"/>
          </w:tcPr>
          <w:p w:rsidR="00567308" w:rsidRPr="004B4453" w:rsidRDefault="00567308" w:rsidP="00567308">
            <w:pPr>
              <w:widowControl w:val="0"/>
              <w:shd w:val="clear" w:color="auto" w:fill="FFFFFF"/>
              <w:autoSpaceDE w:val="0"/>
              <w:autoSpaceDN w:val="0"/>
              <w:adjustRightInd w:val="0"/>
              <w:jc w:val="center"/>
            </w:pPr>
            <w:r w:rsidRPr="004B4453">
              <w:lastRenderedPageBreak/>
              <w:t>Протез</w:t>
            </w:r>
            <w:r>
              <w:t xml:space="preserve"> </w:t>
            </w:r>
            <w:r w:rsidRPr="004B4453">
              <w:t>голени</w:t>
            </w:r>
          </w:p>
        </w:tc>
        <w:tc>
          <w:tcPr>
            <w:tcW w:w="7042" w:type="dxa"/>
          </w:tcPr>
          <w:p w:rsidR="00567308" w:rsidRDefault="00567308" w:rsidP="00567308">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Должно </w:t>
            </w:r>
            <w:proofErr w:type="gramStart"/>
            <w:r>
              <w:rPr>
                <w:color w:val="000000"/>
                <w:sz w:val="20"/>
              </w:rPr>
              <w:t>быть</w:t>
            </w:r>
            <w:proofErr w:type="gramEnd"/>
            <w:r>
              <w:rPr>
                <w:color w:val="000000"/>
                <w:sz w:val="20"/>
              </w:rPr>
              <w:t xml:space="preserve"> изготовление пробных гильз из термопласта. Крепление на пациенте должно быть с использованием силиконового чехла и замка. Регулировочно – соединительные устройства должны соответствовать весовым и нагрузочным параметрам пациента. Стопа должна быть со сменным пяточным амортизатором подвижная в </w:t>
            </w:r>
            <w:proofErr w:type="spellStart"/>
            <w:r>
              <w:rPr>
                <w:color w:val="000000"/>
                <w:sz w:val="20"/>
              </w:rPr>
              <w:t>сагитальной</w:t>
            </w:r>
            <w:proofErr w:type="spellEnd"/>
            <w:r>
              <w:rPr>
                <w:color w:val="000000"/>
                <w:sz w:val="20"/>
              </w:rPr>
              <w:t xml:space="preserve"> плоскости. Косметическая облицовка должна быть модульная полужесткая. Покрытие косметической оболочки должны быть чулки ортопедические </w:t>
            </w:r>
            <w:proofErr w:type="spellStart"/>
            <w:r>
              <w:rPr>
                <w:color w:val="000000"/>
                <w:sz w:val="20"/>
              </w:rPr>
              <w:t>перлоновые</w:t>
            </w:r>
            <w:proofErr w:type="spellEnd"/>
            <w:r>
              <w:rPr>
                <w:color w:val="000000"/>
                <w:sz w:val="20"/>
              </w:rPr>
              <w:t>.</w:t>
            </w:r>
          </w:p>
        </w:tc>
        <w:tc>
          <w:tcPr>
            <w:tcW w:w="1179" w:type="dxa"/>
            <w:vAlign w:val="center"/>
          </w:tcPr>
          <w:p w:rsidR="00567308" w:rsidRPr="008B4BB8" w:rsidRDefault="00567308" w:rsidP="00837ED3">
            <w:pPr>
              <w:widowControl w:val="0"/>
              <w:ind w:left="-63" w:right="-108"/>
              <w:jc w:val="center"/>
              <w:rPr>
                <w:bCs/>
              </w:rPr>
            </w:pPr>
            <w:r>
              <w:rPr>
                <w:bCs/>
              </w:rPr>
              <w:t>326466,6</w:t>
            </w:r>
            <w:r w:rsidR="00837ED3">
              <w:rPr>
                <w:bCs/>
              </w:rPr>
              <w:t>7</w:t>
            </w:r>
          </w:p>
        </w:tc>
        <w:tc>
          <w:tcPr>
            <w:tcW w:w="770" w:type="dxa"/>
            <w:vAlign w:val="center"/>
          </w:tcPr>
          <w:p w:rsidR="00567308" w:rsidRPr="008B4BB8" w:rsidRDefault="00567308" w:rsidP="00567308">
            <w:pPr>
              <w:widowControl w:val="0"/>
              <w:jc w:val="center"/>
              <w:rPr>
                <w:bCs/>
              </w:rPr>
            </w:pPr>
            <w:r>
              <w:rPr>
                <w:bCs/>
              </w:rPr>
              <w:t>1</w:t>
            </w:r>
          </w:p>
        </w:tc>
      </w:tr>
      <w:tr w:rsidR="00567308" w:rsidTr="00AE6FD6">
        <w:tblPrEx>
          <w:tblCellMar>
            <w:top w:w="0" w:type="dxa"/>
            <w:bottom w:w="0" w:type="dxa"/>
          </w:tblCellMar>
        </w:tblPrEx>
        <w:trPr>
          <w:trHeight w:val="326"/>
        </w:trPr>
        <w:tc>
          <w:tcPr>
            <w:tcW w:w="1598" w:type="dxa"/>
            <w:vAlign w:val="center"/>
          </w:tcPr>
          <w:p w:rsidR="00567308" w:rsidRPr="004B4453" w:rsidRDefault="00567308" w:rsidP="00567308">
            <w:pPr>
              <w:widowControl w:val="0"/>
              <w:shd w:val="clear" w:color="auto" w:fill="FFFFFF"/>
              <w:autoSpaceDE w:val="0"/>
              <w:autoSpaceDN w:val="0"/>
              <w:adjustRightInd w:val="0"/>
              <w:jc w:val="center"/>
            </w:pPr>
            <w:r w:rsidRPr="004B4453">
              <w:t>Протез голени</w:t>
            </w:r>
          </w:p>
        </w:tc>
        <w:tc>
          <w:tcPr>
            <w:tcW w:w="7042" w:type="dxa"/>
          </w:tcPr>
          <w:p w:rsidR="00567308" w:rsidRDefault="00567308" w:rsidP="00567308">
            <w:pPr>
              <w:keepNext/>
              <w:keepLines/>
              <w:widowControl w:val="0"/>
              <w:jc w:val="both"/>
              <w:rPr>
                <w:color w:val="000000"/>
                <w:sz w:val="20"/>
              </w:rPr>
            </w:pPr>
            <w:r>
              <w:rPr>
                <w:color w:val="000000"/>
                <w:sz w:val="20"/>
              </w:rPr>
              <w:t xml:space="preserve">Протез голени должен быть модульного типа. 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Должно </w:t>
            </w:r>
            <w:proofErr w:type="gramStart"/>
            <w:r>
              <w:rPr>
                <w:color w:val="000000"/>
                <w:sz w:val="20"/>
              </w:rPr>
              <w:t>быть</w:t>
            </w:r>
            <w:proofErr w:type="gramEnd"/>
            <w:r>
              <w:rPr>
                <w:color w:val="000000"/>
                <w:sz w:val="20"/>
              </w:rPr>
              <w:t xml:space="preserve"> изготовление пробных гильз из термопласта. Вкладная гильза должна быть из вспененных материалов. Регулировочно – соединительные устройства должны соответствовать весовым и нагрузочным параметрам пациента. Стопа должна быть со сменным пяточным амортизатором. Протез без косметической облицовки. Крепление на пациенте при помощи формы приемной гильзы с дополнительным креплением лентой </w:t>
            </w:r>
            <w:proofErr w:type="spellStart"/>
            <w:r>
              <w:rPr>
                <w:color w:val="000000"/>
                <w:sz w:val="20"/>
              </w:rPr>
              <w:t>велкро</w:t>
            </w:r>
            <w:proofErr w:type="spellEnd"/>
            <w:r>
              <w:rPr>
                <w:color w:val="000000"/>
                <w:sz w:val="20"/>
              </w:rPr>
              <w:t>.</w:t>
            </w:r>
          </w:p>
        </w:tc>
        <w:tc>
          <w:tcPr>
            <w:tcW w:w="1179" w:type="dxa"/>
            <w:vAlign w:val="center"/>
          </w:tcPr>
          <w:p w:rsidR="00567308" w:rsidRPr="008B4BB8" w:rsidRDefault="00567308" w:rsidP="00837ED3">
            <w:pPr>
              <w:widowControl w:val="0"/>
              <w:ind w:left="-63" w:right="-108"/>
              <w:jc w:val="center"/>
              <w:rPr>
                <w:bCs/>
              </w:rPr>
            </w:pPr>
            <w:r>
              <w:rPr>
                <w:bCs/>
              </w:rPr>
              <w:t>236700,0</w:t>
            </w:r>
            <w:r w:rsidR="00837ED3">
              <w:rPr>
                <w:bCs/>
              </w:rPr>
              <w:t>0</w:t>
            </w:r>
          </w:p>
        </w:tc>
        <w:tc>
          <w:tcPr>
            <w:tcW w:w="770" w:type="dxa"/>
            <w:vAlign w:val="center"/>
          </w:tcPr>
          <w:p w:rsidR="00567308" w:rsidRPr="008B4BB8" w:rsidRDefault="00567308" w:rsidP="00567308">
            <w:pPr>
              <w:widowControl w:val="0"/>
              <w:jc w:val="center"/>
              <w:rPr>
                <w:bCs/>
              </w:rPr>
            </w:pPr>
            <w:r>
              <w:rPr>
                <w:bCs/>
              </w:rPr>
              <w:t>1</w:t>
            </w:r>
          </w:p>
        </w:tc>
      </w:tr>
    </w:tbl>
    <w:p w:rsidR="00996EA8" w:rsidRDefault="00996EA8" w:rsidP="008B4BB8">
      <w:pPr>
        <w:widowControl w:val="0"/>
        <w:jc w:val="both"/>
        <w:rPr>
          <w:bCs/>
          <w:lang w:bidi="ru-RU"/>
        </w:rPr>
      </w:pPr>
      <w:r w:rsidRPr="00B02978">
        <w:rPr>
          <w:bCs/>
          <w:lang w:bidi="ru-RU"/>
        </w:rPr>
        <w:t>Обеспечение получателей протезами нижних конечностей должно осуществляться в 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996EA8" w:rsidRPr="00FA7510" w:rsidRDefault="00996EA8" w:rsidP="008B4BB8">
      <w:pPr>
        <w:widowControl w:val="0"/>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rsidR="00996EA8" w:rsidRPr="00FA7510" w:rsidRDefault="00996EA8" w:rsidP="008B4BB8">
      <w:pPr>
        <w:widowControl w:val="0"/>
        <w:jc w:val="both"/>
        <w:rPr>
          <w:bCs/>
          <w:lang w:bidi="ru-RU"/>
        </w:rPr>
      </w:pPr>
      <w:r w:rsidRPr="00FA7510">
        <w:rPr>
          <w:bCs/>
          <w:lang w:bidi="ru-RU"/>
        </w:rPr>
        <w:t xml:space="preserve">Протезы должны отвечать требованиям Государственных стандартов Российской 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996EA8" w:rsidRDefault="00996EA8" w:rsidP="008B4BB8">
      <w:pPr>
        <w:widowControl w:val="0"/>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996EA8" w:rsidRDefault="00996EA8" w:rsidP="008B4BB8">
      <w:pPr>
        <w:widowControl w:val="0"/>
        <w:jc w:val="both"/>
        <w:rPr>
          <w:lang w:bidi="ru-RU"/>
        </w:rPr>
      </w:pPr>
      <w:r>
        <w:rPr>
          <w:b/>
          <w:lang w:bidi="ru-RU"/>
        </w:rPr>
        <w:t xml:space="preserve">12. </w:t>
      </w:r>
      <w:r w:rsidRPr="00592394">
        <w:rPr>
          <w:b/>
          <w:lang w:bidi="ru-RU"/>
        </w:rPr>
        <w:t xml:space="preserve">Требования к обеспечению </w:t>
      </w:r>
      <w:r>
        <w:rPr>
          <w:b/>
          <w:lang w:bidi="ru-RU"/>
        </w:rPr>
        <w:t>Изделиями.</w:t>
      </w:r>
      <w:r w:rsidRPr="00A76588">
        <w:rPr>
          <w:lang w:bidi="ru-RU"/>
        </w:rPr>
        <w:t xml:space="preserve"> </w:t>
      </w:r>
    </w:p>
    <w:p w:rsidR="00996EA8" w:rsidRPr="00167751" w:rsidRDefault="00996EA8" w:rsidP="008B4BB8">
      <w:pPr>
        <w:widowControl w:val="0"/>
        <w:jc w:val="both"/>
        <w:rPr>
          <w:lang w:bidi="ru-RU"/>
        </w:rPr>
      </w:pPr>
      <w:r w:rsidRPr="00167751">
        <w:rPr>
          <w:lang w:bidi="ru-RU"/>
        </w:rPr>
        <w:t>Обеспечение протезами</w:t>
      </w:r>
      <w:r>
        <w:rPr>
          <w:lang w:bidi="ru-RU"/>
        </w:rPr>
        <w:t xml:space="preserve"> </w:t>
      </w:r>
      <w:r w:rsidRPr="00167751">
        <w:rPr>
          <w:lang w:bidi="ru-RU"/>
        </w:rPr>
        <w:t>конечностей должно включать в себя:</w:t>
      </w:r>
    </w:p>
    <w:p w:rsidR="00996EA8" w:rsidRDefault="00996EA8" w:rsidP="008B4BB8">
      <w:pPr>
        <w:widowControl w:val="0"/>
        <w:jc w:val="both"/>
        <w:rPr>
          <w:lang w:bidi="ru-RU"/>
        </w:rPr>
      </w:pPr>
      <w:r w:rsidRPr="00167751">
        <w:rPr>
          <w:lang w:bidi="ru-RU"/>
        </w:rPr>
        <w:t xml:space="preserve">- </w:t>
      </w:r>
      <w:r w:rsidRPr="0066313B">
        <w:rPr>
          <w:lang w:bidi="ru-RU"/>
        </w:rPr>
        <w:t>изготовление и подборку протезов конечностей</w:t>
      </w:r>
      <w:r w:rsidRPr="0066313B">
        <w:t xml:space="preserve"> индивидуально, с учетом анатомических дефектов нижних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996EA8" w:rsidRPr="00167751" w:rsidRDefault="00996EA8" w:rsidP="008B4BB8">
      <w:pPr>
        <w:widowControl w:val="0"/>
        <w:jc w:val="both"/>
        <w:rPr>
          <w:lang w:bidi="ru-RU"/>
        </w:rPr>
      </w:pPr>
      <w:r w:rsidRPr="00167751">
        <w:rPr>
          <w:lang w:bidi="ru-RU"/>
        </w:rPr>
        <w:t xml:space="preserve">- </w:t>
      </w:r>
      <w:r>
        <w:rPr>
          <w:lang w:bidi="ru-RU"/>
        </w:rPr>
        <w:t xml:space="preserve">ремонт и </w:t>
      </w:r>
      <w:r w:rsidRPr="00167751">
        <w:rPr>
          <w:lang w:bidi="ru-RU"/>
        </w:rPr>
        <w:t>замену протезов конечностей, в случаях, установленных Контрактом;</w:t>
      </w:r>
    </w:p>
    <w:p w:rsidR="00996EA8" w:rsidRPr="00167751" w:rsidRDefault="00996EA8" w:rsidP="008B4BB8">
      <w:pPr>
        <w:widowControl w:val="0"/>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конечностей.  </w:t>
      </w:r>
    </w:p>
    <w:p w:rsidR="00996EA8" w:rsidRDefault="00996EA8" w:rsidP="008B4BB8">
      <w:pPr>
        <w:widowControl w:val="0"/>
        <w:jc w:val="both"/>
      </w:pPr>
      <w:r>
        <w:rPr>
          <w:b/>
        </w:rPr>
        <w:t xml:space="preserve">13. </w:t>
      </w:r>
      <w:r w:rsidRPr="00FD7549">
        <w:rPr>
          <w:b/>
        </w:rPr>
        <w:t>Требования к безопасности выполняемых работ:</w:t>
      </w:r>
      <w:r w:rsidRPr="009F6390">
        <w:t xml:space="preserve"> в</w:t>
      </w:r>
      <w:r w:rsidRPr="009F6390">
        <w:rPr>
          <w:bCs/>
        </w:rPr>
        <w:t>ып</w:t>
      </w:r>
      <w:r w:rsidRPr="00FD7549">
        <w:rPr>
          <w:bCs/>
        </w:rPr>
        <w:t>олнение работ</w:t>
      </w:r>
      <w:r w:rsidRPr="00FD7549">
        <w:rPr>
          <w:b/>
          <w:bCs/>
        </w:rPr>
        <w:t xml:space="preserve"> </w:t>
      </w:r>
      <w:r w:rsidRPr="00FD7549">
        <w:t xml:space="preserve">по обеспечению протезами нижних конечностей </w:t>
      </w:r>
      <w:r>
        <w:t xml:space="preserve">для </w:t>
      </w:r>
      <w:r w:rsidRPr="009F6390">
        <w:rPr>
          <w:lang w:bidi="ru-RU"/>
        </w:rPr>
        <w:t>застрахованных граждан</w:t>
      </w:r>
      <w:r>
        <w:rPr>
          <w:lang w:bidi="ru-RU"/>
        </w:rPr>
        <w:t xml:space="preserve"> </w:t>
      </w:r>
      <w:r w:rsidRPr="00FD7549">
        <w:t>должны осуществляться при наличии:</w:t>
      </w:r>
      <w:r w:rsidRPr="00FD7549">
        <w:rPr>
          <w:b/>
        </w:rPr>
        <w:t xml:space="preserve"> </w:t>
      </w:r>
      <w:r w:rsidRPr="00FD7549">
        <w:t>регистрационных удостоверений;</w:t>
      </w:r>
      <w:r>
        <w:t xml:space="preserve"> </w:t>
      </w:r>
      <w:r w:rsidRPr="00FD7549">
        <w:t xml:space="preserve">деклараций соответствия на продукцию, сертификатов соответствия на протезно-ортопедические изделия. </w:t>
      </w:r>
      <w:r>
        <w:t xml:space="preserve">Исполнителем </w:t>
      </w:r>
      <w:proofErr w:type="gramStart"/>
      <w:r>
        <w:t>п</w:t>
      </w:r>
      <w:r w:rsidRPr="00FD7549">
        <w:t>редоставляются те документы</w:t>
      </w:r>
      <w:proofErr w:type="gramEnd"/>
      <w:r w:rsidRPr="00FD7549">
        <w:t>, которые имеются в наличии на протезы нижних конечностей</w:t>
      </w:r>
      <w:r>
        <w:t>,</w:t>
      </w:r>
      <w:r w:rsidRPr="00FD7549">
        <w:t xml:space="preserve"> указываемых в заявке Участником.</w:t>
      </w:r>
    </w:p>
    <w:p w:rsidR="00996EA8" w:rsidRPr="00FD7549" w:rsidRDefault="00996EA8" w:rsidP="008B4BB8">
      <w:pPr>
        <w:widowControl w:val="0"/>
        <w:jc w:val="both"/>
      </w:pPr>
      <w:r w:rsidRPr="009F6390">
        <w:rPr>
          <w:lang w:bidi="ru-RU"/>
        </w:rPr>
        <w:t xml:space="preserve">Материалы, применяемые при изготовлении </w:t>
      </w:r>
      <w:r>
        <w:rPr>
          <w:lang w:bidi="ru-RU"/>
        </w:rPr>
        <w:t xml:space="preserve">Изделий, </w:t>
      </w:r>
      <w:r w:rsidRPr="009F6390">
        <w:rPr>
          <w:lang w:bidi="ru-RU"/>
        </w:rPr>
        <w:t xml:space="preserve">контактирующие с телом пациента, </w:t>
      </w:r>
      <w:r w:rsidRPr="00FA7510">
        <w:rPr>
          <w:lang w:bidi="ru-RU"/>
        </w:rPr>
        <w:t>должны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w:t>
      </w:r>
    </w:p>
    <w:p w:rsidR="00996EA8" w:rsidRPr="00FD7549" w:rsidRDefault="00996EA8" w:rsidP="008B4BB8">
      <w:pPr>
        <w:widowControl w:val="0"/>
        <w:jc w:val="both"/>
        <w:rPr>
          <w:b/>
        </w:rPr>
      </w:pPr>
      <w:r>
        <w:rPr>
          <w:b/>
        </w:rPr>
        <w:lastRenderedPageBreak/>
        <w:t xml:space="preserve">14. </w:t>
      </w:r>
      <w:r w:rsidRPr="00FD7549">
        <w:rPr>
          <w:b/>
        </w:rPr>
        <w:t>Требования к срокам и (или) объему предоставления гарантии качества выполняемых работ:</w:t>
      </w:r>
    </w:p>
    <w:p w:rsidR="00996EA8" w:rsidRPr="00FD7549" w:rsidRDefault="00996EA8" w:rsidP="008B4BB8">
      <w:pPr>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996EA8" w:rsidRDefault="00996EA8" w:rsidP="008B4BB8">
      <w:pPr>
        <w:widowControl w:val="0"/>
        <w:ind w:firstLine="709"/>
        <w:jc w:val="both"/>
        <w:rPr>
          <w:sz w:val="16"/>
        </w:rPr>
      </w:pPr>
      <w:r w:rsidRPr="00FD7549">
        <w:t>Гарантийный срок на протезы нижних конечностей устанавливается со дня выдачи готового изделия в эксплуатацию и составляет не менее</w:t>
      </w:r>
      <w:r w:rsidR="00E01B8A">
        <w:t xml:space="preserve"> 36</w:t>
      </w:r>
      <w:r w:rsidRPr="00FD7549">
        <w:t xml:space="preserve"> месяцев.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p w:rsidR="002044E6" w:rsidRDefault="002044E6" w:rsidP="008B4BB8">
      <w:pPr>
        <w:pStyle w:val="a3"/>
        <w:widowControl w:val="0"/>
        <w:ind w:left="0"/>
        <w:jc w:val="both"/>
        <w:rPr>
          <w:rFonts w:eastAsia="Arial Unicode MS"/>
          <w:sz w:val="18"/>
          <w:szCs w:val="18"/>
        </w:rPr>
      </w:pPr>
    </w:p>
    <w:sectPr w:rsidR="002044E6" w:rsidSect="000426B8">
      <w:pgSz w:w="11905" w:h="16837"/>
      <w:pgMar w:top="426" w:right="567" w:bottom="426"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1D" w:rsidRDefault="00DB281D">
      <w:r>
        <w:separator/>
      </w:r>
    </w:p>
  </w:endnote>
  <w:endnote w:type="continuationSeparator" w:id="0">
    <w:p w:rsidR="00DB281D" w:rsidRDefault="00DB2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1D" w:rsidRDefault="00DB281D">
      <w:r>
        <w:separator/>
      </w:r>
    </w:p>
  </w:footnote>
  <w:footnote w:type="continuationSeparator" w:id="0">
    <w:p w:rsidR="00DB281D" w:rsidRDefault="00DB2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26B8"/>
    <w:rsid w:val="0004402D"/>
    <w:rsid w:val="00047FD2"/>
    <w:rsid w:val="00053259"/>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96A8E"/>
    <w:rsid w:val="000A2A4F"/>
    <w:rsid w:val="000B553C"/>
    <w:rsid w:val="000B57C0"/>
    <w:rsid w:val="000C108B"/>
    <w:rsid w:val="000C316F"/>
    <w:rsid w:val="000C7383"/>
    <w:rsid w:val="000D09FC"/>
    <w:rsid w:val="000E0296"/>
    <w:rsid w:val="000E32DB"/>
    <w:rsid w:val="000F069C"/>
    <w:rsid w:val="000F50D1"/>
    <w:rsid w:val="0010126C"/>
    <w:rsid w:val="0010552C"/>
    <w:rsid w:val="00113C9C"/>
    <w:rsid w:val="00114889"/>
    <w:rsid w:val="001153A9"/>
    <w:rsid w:val="001205BB"/>
    <w:rsid w:val="00122D44"/>
    <w:rsid w:val="001248C9"/>
    <w:rsid w:val="00125EF6"/>
    <w:rsid w:val="00140069"/>
    <w:rsid w:val="00142042"/>
    <w:rsid w:val="00147AB7"/>
    <w:rsid w:val="001541FE"/>
    <w:rsid w:val="00156042"/>
    <w:rsid w:val="0016500C"/>
    <w:rsid w:val="00165E2F"/>
    <w:rsid w:val="00171580"/>
    <w:rsid w:val="00173BD4"/>
    <w:rsid w:val="00190FEB"/>
    <w:rsid w:val="00195176"/>
    <w:rsid w:val="001A3A38"/>
    <w:rsid w:val="001A6F85"/>
    <w:rsid w:val="001B05DD"/>
    <w:rsid w:val="001B0611"/>
    <w:rsid w:val="001B1EEC"/>
    <w:rsid w:val="001C28CA"/>
    <w:rsid w:val="001C7261"/>
    <w:rsid w:val="001E7BFC"/>
    <w:rsid w:val="001F0E2E"/>
    <w:rsid w:val="001F18B4"/>
    <w:rsid w:val="00203225"/>
    <w:rsid w:val="002044E6"/>
    <w:rsid w:val="0020514D"/>
    <w:rsid w:val="00205316"/>
    <w:rsid w:val="002074BE"/>
    <w:rsid w:val="002115DC"/>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21B2"/>
    <w:rsid w:val="00294EB3"/>
    <w:rsid w:val="002A64BC"/>
    <w:rsid w:val="002A786F"/>
    <w:rsid w:val="002B2F3B"/>
    <w:rsid w:val="002C6407"/>
    <w:rsid w:val="002E5E84"/>
    <w:rsid w:val="00300339"/>
    <w:rsid w:val="00301880"/>
    <w:rsid w:val="0031074A"/>
    <w:rsid w:val="00316BF4"/>
    <w:rsid w:val="0032055D"/>
    <w:rsid w:val="003270D1"/>
    <w:rsid w:val="0032740D"/>
    <w:rsid w:val="003406A5"/>
    <w:rsid w:val="00342FE8"/>
    <w:rsid w:val="0034557E"/>
    <w:rsid w:val="003566CE"/>
    <w:rsid w:val="00357415"/>
    <w:rsid w:val="003602B6"/>
    <w:rsid w:val="003607E6"/>
    <w:rsid w:val="00363E63"/>
    <w:rsid w:val="00380817"/>
    <w:rsid w:val="00380B02"/>
    <w:rsid w:val="00381466"/>
    <w:rsid w:val="00383196"/>
    <w:rsid w:val="003A0BC0"/>
    <w:rsid w:val="003A42CF"/>
    <w:rsid w:val="003A69B4"/>
    <w:rsid w:val="003B119E"/>
    <w:rsid w:val="003B4862"/>
    <w:rsid w:val="003B66AB"/>
    <w:rsid w:val="003D1015"/>
    <w:rsid w:val="003D1F6B"/>
    <w:rsid w:val="003D386A"/>
    <w:rsid w:val="003D4B02"/>
    <w:rsid w:val="003D4CA6"/>
    <w:rsid w:val="003D4D22"/>
    <w:rsid w:val="003D57D2"/>
    <w:rsid w:val="003E3A6C"/>
    <w:rsid w:val="003F1547"/>
    <w:rsid w:val="003F2702"/>
    <w:rsid w:val="00415352"/>
    <w:rsid w:val="00426C4B"/>
    <w:rsid w:val="004402B3"/>
    <w:rsid w:val="00444329"/>
    <w:rsid w:val="00444D41"/>
    <w:rsid w:val="00456D00"/>
    <w:rsid w:val="00457C0A"/>
    <w:rsid w:val="00464638"/>
    <w:rsid w:val="004715C5"/>
    <w:rsid w:val="004758E2"/>
    <w:rsid w:val="00484EB4"/>
    <w:rsid w:val="00490614"/>
    <w:rsid w:val="00491C1E"/>
    <w:rsid w:val="00492870"/>
    <w:rsid w:val="004A3CC4"/>
    <w:rsid w:val="004A59C9"/>
    <w:rsid w:val="004B03A5"/>
    <w:rsid w:val="004B4453"/>
    <w:rsid w:val="004C7C6F"/>
    <w:rsid w:val="004D4851"/>
    <w:rsid w:val="004D6A93"/>
    <w:rsid w:val="004E1D83"/>
    <w:rsid w:val="004E3217"/>
    <w:rsid w:val="004E37CD"/>
    <w:rsid w:val="004E415E"/>
    <w:rsid w:val="004E5812"/>
    <w:rsid w:val="004E5FF4"/>
    <w:rsid w:val="004E6B75"/>
    <w:rsid w:val="004F0E4F"/>
    <w:rsid w:val="004F46D1"/>
    <w:rsid w:val="004F6884"/>
    <w:rsid w:val="00500ACF"/>
    <w:rsid w:val="0050110B"/>
    <w:rsid w:val="00502B06"/>
    <w:rsid w:val="00504342"/>
    <w:rsid w:val="00504F30"/>
    <w:rsid w:val="0051442E"/>
    <w:rsid w:val="00515DBA"/>
    <w:rsid w:val="00516D14"/>
    <w:rsid w:val="00516E38"/>
    <w:rsid w:val="005216A6"/>
    <w:rsid w:val="005265FB"/>
    <w:rsid w:val="0053679C"/>
    <w:rsid w:val="00551C7C"/>
    <w:rsid w:val="00553B74"/>
    <w:rsid w:val="005607EE"/>
    <w:rsid w:val="00560D4E"/>
    <w:rsid w:val="00561A81"/>
    <w:rsid w:val="00565ED3"/>
    <w:rsid w:val="00567308"/>
    <w:rsid w:val="00580AD2"/>
    <w:rsid w:val="00580FD3"/>
    <w:rsid w:val="00581905"/>
    <w:rsid w:val="00581B6C"/>
    <w:rsid w:val="005955EE"/>
    <w:rsid w:val="00595C06"/>
    <w:rsid w:val="00597FD5"/>
    <w:rsid w:val="005A0A06"/>
    <w:rsid w:val="005A1BA0"/>
    <w:rsid w:val="005A76AC"/>
    <w:rsid w:val="005B6F18"/>
    <w:rsid w:val="005B7321"/>
    <w:rsid w:val="005D1E40"/>
    <w:rsid w:val="005D4F5D"/>
    <w:rsid w:val="005D7071"/>
    <w:rsid w:val="005E0657"/>
    <w:rsid w:val="005E5D13"/>
    <w:rsid w:val="005F7874"/>
    <w:rsid w:val="006007BF"/>
    <w:rsid w:val="00600C92"/>
    <w:rsid w:val="00603FE7"/>
    <w:rsid w:val="00610D7A"/>
    <w:rsid w:val="00616C72"/>
    <w:rsid w:val="00625535"/>
    <w:rsid w:val="00625E59"/>
    <w:rsid w:val="00630444"/>
    <w:rsid w:val="006349B3"/>
    <w:rsid w:val="00647495"/>
    <w:rsid w:val="006512F8"/>
    <w:rsid w:val="00661340"/>
    <w:rsid w:val="0066313B"/>
    <w:rsid w:val="00674E59"/>
    <w:rsid w:val="006818CA"/>
    <w:rsid w:val="006967D8"/>
    <w:rsid w:val="006B3CCC"/>
    <w:rsid w:val="006B558F"/>
    <w:rsid w:val="006B6A54"/>
    <w:rsid w:val="006B7C74"/>
    <w:rsid w:val="006C56C2"/>
    <w:rsid w:val="006C5CFD"/>
    <w:rsid w:val="006D6DB5"/>
    <w:rsid w:val="006D7278"/>
    <w:rsid w:val="006D7B36"/>
    <w:rsid w:val="006E1B72"/>
    <w:rsid w:val="006E5120"/>
    <w:rsid w:val="00700A68"/>
    <w:rsid w:val="00703CA1"/>
    <w:rsid w:val="007158A0"/>
    <w:rsid w:val="0072034E"/>
    <w:rsid w:val="00722C97"/>
    <w:rsid w:val="00723FF0"/>
    <w:rsid w:val="007253FF"/>
    <w:rsid w:val="00727C06"/>
    <w:rsid w:val="007307FF"/>
    <w:rsid w:val="007337CA"/>
    <w:rsid w:val="00743FFA"/>
    <w:rsid w:val="00745E26"/>
    <w:rsid w:val="00747416"/>
    <w:rsid w:val="00753F33"/>
    <w:rsid w:val="00754136"/>
    <w:rsid w:val="00754D0B"/>
    <w:rsid w:val="0076114D"/>
    <w:rsid w:val="007625E9"/>
    <w:rsid w:val="0076570A"/>
    <w:rsid w:val="007675FF"/>
    <w:rsid w:val="00771574"/>
    <w:rsid w:val="0077481F"/>
    <w:rsid w:val="00782E4A"/>
    <w:rsid w:val="00783E9A"/>
    <w:rsid w:val="00793789"/>
    <w:rsid w:val="007A0BB5"/>
    <w:rsid w:val="007A157B"/>
    <w:rsid w:val="007A26F7"/>
    <w:rsid w:val="007A49A8"/>
    <w:rsid w:val="007A56AC"/>
    <w:rsid w:val="007A58FE"/>
    <w:rsid w:val="007D2430"/>
    <w:rsid w:val="007D3462"/>
    <w:rsid w:val="007E50E6"/>
    <w:rsid w:val="007E6D55"/>
    <w:rsid w:val="007F0931"/>
    <w:rsid w:val="007F1C3C"/>
    <w:rsid w:val="007F2EBC"/>
    <w:rsid w:val="00800441"/>
    <w:rsid w:val="008105BE"/>
    <w:rsid w:val="008263E6"/>
    <w:rsid w:val="00831852"/>
    <w:rsid w:val="008324D3"/>
    <w:rsid w:val="00832F50"/>
    <w:rsid w:val="008364F1"/>
    <w:rsid w:val="00836CD9"/>
    <w:rsid w:val="00837ED3"/>
    <w:rsid w:val="008427A5"/>
    <w:rsid w:val="008619DE"/>
    <w:rsid w:val="0086251F"/>
    <w:rsid w:val="008661C2"/>
    <w:rsid w:val="0087694D"/>
    <w:rsid w:val="00885D1F"/>
    <w:rsid w:val="00890343"/>
    <w:rsid w:val="00891860"/>
    <w:rsid w:val="00896581"/>
    <w:rsid w:val="00897EAD"/>
    <w:rsid w:val="008A1205"/>
    <w:rsid w:val="008A59CA"/>
    <w:rsid w:val="008A62D6"/>
    <w:rsid w:val="008B29F5"/>
    <w:rsid w:val="008B4BB8"/>
    <w:rsid w:val="008B4CA5"/>
    <w:rsid w:val="008C27EB"/>
    <w:rsid w:val="008C665C"/>
    <w:rsid w:val="008D08C0"/>
    <w:rsid w:val="008E294B"/>
    <w:rsid w:val="008E63F6"/>
    <w:rsid w:val="008F2C1C"/>
    <w:rsid w:val="008F52EC"/>
    <w:rsid w:val="00904C21"/>
    <w:rsid w:val="0091250B"/>
    <w:rsid w:val="00916DFA"/>
    <w:rsid w:val="009263BD"/>
    <w:rsid w:val="0094111B"/>
    <w:rsid w:val="0094379F"/>
    <w:rsid w:val="00945364"/>
    <w:rsid w:val="00947AD4"/>
    <w:rsid w:val="00950D2E"/>
    <w:rsid w:val="009564F4"/>
    <w:rsid w:val="009628D0"/>
    <w:rsid w:val="00973703"/>
    <w:rsid w:val="0097786A"/>
    <w:rsid w:val="00977D4C"/>
    <w:rsid w:val="00985011"/>
    <w:rsid w:val="00985DCD"/>
    <w:rsid w:val="009908A9"/>
    <w:rsid w:val="00990A3C"/>
    <w:rsid w:val="00992573"/>
    <w:rsid w:val="00996706"/>
    <w:rsid w:val="00996EA8"/>
    <w:rsid w:val="009A1D18"/>
    <w:rsid w:val="009A4FAA"/>
    <w:rsid w:val="009A743D"/>
    <w:rsid w:val="009B3BAA"/>
    <w:rsid w:val="009B61D1"/>
    <w:rsid w:val="009C1C14"/>
    <w:rsid w:val="009C63F8"/>
    <w:rsid w:val="009D2D9A"/>
    <w:rsid w:val="009D3AA0"/>
    <w:rsid w:val="009D771B"/>
    <w:rsid w:val="009E0ED4"/>
    <w:rsid w:val="009E3D92"/>
    <w:rsid w:val="009F0544"/>
    <w:rsid w:val="00A0011F"/>
    <w:rsid w:val="00A04D66"/>
    <w:rsid w:val="00A05633"/>
    <w:rsid w:val="00A0610D"/>
    <w:rsid w:val="00A07F6B"/>
    <w:rsid w:val="00A56DD8"/>
    <w:rsid w:val="00A6101C"/>
    <w:rsid w:val="00A721FF"/>
    <w:rsid w:val="00A74850"/>
    <w:rsid w:val="00A76940"/>
    <w:rsid w:val="00A76B52"/>
    <w:rsid w:val="00A81DF2"/>
    <w:rsid w:val="00A84040"/>
    <w:rsid w:val="00A87B96"/>
    <w:rsid w:val="00A95BAD"/>
    <w:rsid w:val="00A964AE"/>
    <w:rsid w:val="00AA1B34"/>
    <w:rsid w:val="00AA470A"/>
    <w:rsid w:val="00AA4DD8"/>
    <w:rsid w:val="00AA51F6"/>
    <w:rsid w:val="00AB72A1"/>
    <w:rsid w:val="00AC4DBE"/>
    <w:rsid w:val="00AC50F0"/>
    <w:rsid w:val="00AC5C60"/>
    <w:rsid w:val="00AD31B8"/>
    <w:rsid w:val="00AD6F3E"/>
    <w:rsid w:val="00AE6FD6"/>
    <w:rsid w:val="00AF356A"/>
    <w:rsid w:val="00AF630D"/>
    <w:rsid w:val="00B20AE8"/>
    <w:rsid w:val="00B24076"/>
    <w:rsid w:val="00B30247"/>
    <w:rsid w:val="00B4211B"/>
    <w:rsid w:val="00B4690E"/>
    <w:rsid w:val="00B46E72"/>
    <w:rsid w:val="00B538D7"/>
    <w:rsid w:val="00B616BB"/>
    <w:rsid w:val="00B737F6"/>
    <w:rsid w:val="00B74167"/>
    <w:rsid w:val="00B80514"/>
    <w:rsid w:val="00B814B3"/>
    <w:rsid w:val="00B82400"/>
    <w:rsid w:val="00B8607C"/>
    <w:rsid w:val="00BA44F4"/>
    <w:rsid w:val="00BA48CF"/>
    <w:rsid w:val="00BA56F0"/>
    <w:rsid w:val="00BB4884"/>
    <w:rsid w:val="00BB58B9"/>
    <w:rsid w:val="00BB6977"/>
    <w:rsid w:val="00BB7F41"/>
    <w:rsid w:val="00BC012F"/>
    <w:rsid w:val="00BC033E"/>
    <w:rsid w:val="00BC0E51"/>
    <w:rsid w:val="00BC2BC5"/>
    <w:rsid w:val="00BC3CBB"/>
    <w:rsid w:val="00BD2C84"/>
    <w:rsid w:val="00BE0D7D"/>
    <w:rsid w:val="00BE38C8"/>
    <w:rsid w:val="00BF234D"/>
    <w:rsid w:val="00C1070E"/>
    <w:rsid w:val="00C12828"/>
    <w:rsid w:val="00C12E83"/>
    <w:rsid w:val="00C14ED4"/>
    <w:rsid w:val="00C171B7"/>
    <w:rsid w:val="00C21DBE"/>
    <w:rsid w:val="00C2442F"/>
    <w:rsid w:val="00C32D77"/>
    <w:rsid w:val="00C379CE"/>
    <w:rsid w:val="00C40B77"/>
    <w:rsid w:val="00C41810"/>
    <w:rsid w:val="00C4423F"/>
    <w:rsid w:val="00C52695"/>
    <w:rsid w:val="00C62EA6"/>
    <w:rsid w:val="00C7109C"/>
    <w:rsid w:val="00C77375"/>
    <w:rsid w:val="00C77B2C"/>
    <w:rsid w:val="00C8121B"/>
    <w:rsid w:val="00C81F7F"/>
    <w:rsid w:val="00C839B7"/>
    <w:rsid w:val="00C84408"/>
    <w:rsid w:val="00C91446"/>
    <w:rsid w:val="00C94763"/>
    <w:rsid w:val="00C96E1F"/>
    <w:rsid w:val="00CA126A"/>
    <w:rsid w:val="00CA1E85"/>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4727"/>
    <w:rsid w:val="00D273CB"/>
    <w:rsid w:val="00D309C6"/>
    <w:rsid w:val="00D32A9C"/>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460C"/>
    <w:rsid w:val="00D76413"/>
    <w:rsid w:val="00D769CC"/>
    <w:rsid w:val="00D83A46"/>
    <w:rsid w:val="00D93EC2"/>
    <w:rsid w:val="00DA1446"/>
    <w:rsid w:val="00DA144D"/>
    <w:rsid w:val="00DA4684"/>
    <w:rsid w:val="00DB1478"/>
    <w:rsid w:val="00DB281D"/>
    <w:rsid w:val="00DC2CF0"/>
    <w:rsid w:val="00DC6F34"/>
    <w:rsid w:val="00DC7AFA"/>
    <w:rsid w:val="00DD77C0"/>
    <w:rsid w:val="00DD7CCC"/>
    <w:rsid w:val="00DF0831"/>
    <w:rsid w:val="00DF0B39"/>
    <w:rsid w:val="00DF0CAC"/>
    <w:rsid w:val="00DF1843"/>
    <w:rsid w:val="00DF39CA"/>
    <w:rsid w:val="00DF5B67"/>
    <w:rsid w:val="00E01B8A"/>
    <w:rsid w:val="00E02E61"/>
    <w:rsid w:val="00E10F70"/>
    <w:rsid w:val="00E2002C"/>
    <w:rsid w:val="00E20986"/>
    <w:rsid w:val="00E25936"/>
    <w:rsid w:val="00E264AF"/>
    <w:rsid w:val="00E3320C"/>
    <w:rsid w:val="00E412C9"/>
    <w:rsid w:val="00E41573"/>
    <w:rsid w:val="00E43168"/>
    <w:rsid w:val="00E46590"/>
    <w:rsid w:val="00E57748"/>
    <w:rsid w:val="00E62F03"/>
    <w:rsid w:val="00E73AC1"/>
    <w:rsid w:val="00E92B02"/>
    <w:rsid w:val="00EA5A3B"/>
    <w:rsid w:val="00EB1E23"/>
    <w:rsid w:val="00EB283E"/>
    <w:rsid w:val="00EB38C1"/>
    <w:rsid w:val="00EB44B3"/>
    <w:rsid w:val="00EB5177"/>
    <w:rsid w:val="00EB7C77"/>
    <w:rsid w:val="00EC4064"/>
    <w:rsid w:val="00EC6E89"/>
    <w:rsid w:val="00ED0842"/>
    <w:rsid w:val="00ED3E22"/>
    <w:rsid w:val="00EE1268"/>
    <w:rsid w:val="00EE5A1C"/>
    <w:rsid w:val="00F00E16"/>
    <w:rsid w:val="00F01144"/>
    <w:rsid w:val="00F035CD"/>
    <w:rsid w:val="00F055B4"/>
    <w:rsid w:val="00F07819"/>
    <w:rsid w:val="00F2074B"/>
    <w:rsid w:val="00F21818"/>
    <w:rsid w:val="00F32E1E"/>
    <w:rsid w:val="00F46DA9"/>
    <w:rsid w:val="00F566BD"/>
    <w:rsid w:val="00F572E0"/>
    <w:rsid w:val="00F665BA"/>
    <w:rsid w:val="00F74C99"/>
    <w:rsid w:val="00F76B07"/>
    <w:rsid w:val="00F904FA"/>
    <w:rsid w:val="00F918BC"/>
    <w:rsid w:val="00F9606A"/>
    <w:rsid w:val="00F97EBC"/>
    <w:rsid w:val="00FA1D99"/>
    <w:rsid w:val="00FA27A5"/>
    <w:rsid w:val="00FB6F86"/>
    <w:rsid w:val="00FC0C1D"/>
    <w:rsid w:val="00FC5DC4"/>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996A3-B0C7-4A6F-A6B5-5236A0B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9210</CharactersWithSpaces>
  <SharedDoc>false</SharedDoc>
  <HLinks>
    <vt:vector size="30" baseType="variant">
      <vt:variant>
        <vt:i4>2228261</vt:i4>
      </vt:variant>
      <vt:variant>
        <vt:i4>26356</vt:i4>
      </vt:variant>
      <vt:variant>
        <vt:i4>1026</vt:i4>
      </vt:variant>
      <vt:variant>
        <vt:i4>1</vt:i4>
      </vt:variant>
      <vt:variant>
        <vt:lpwstr>http://www.1gl.ru/system/content/feature/image/2633957/</vt:lpwstr>
      </vt:variant>
      <vt:variant>
        <vt:lpwstr/>
      </vt:variant>
      <vt:variant>
        <vt:i4>2228261</vt:i4>
      </vt:variant>
      <vt:variant>
        <vt:i4>27342</vt:i4>
      </vt:variant>
      <vt:variant>
        <vt:i4>1028</vt:i4>
      </vt:variant>
      <vt:variant>
        <vt:i4>1</vt:i4>
      </vt:variant>
      <vt:variant>
        <vt:lpwstr>http://www.1gl.ru/system/content/feature/image/2633957/</vt:lpwstr>
      </vt:variant>
      <vt:variant>
        <vt:lpwstr/>
      </vt:variant>
      <vt:variant>
        <vt:i4>2228261</vt:i4>
      </vt:variant>
      <vt:variant>
        <vt:i4>28328</vt:i4>
      </vt:variant>
      <vt:variant>
        <vt:i4>1030</vt:i4>
      </vt:variant>
      <vt:variant>
        <vt:i4>1</vt:i4>
      </vt:variant>
      <vt:variant>
        <vt:lpwstr>http://www.1gl.ru/system/content/feature/image/2633957/</vt:lpwstr>
      </vt:variant>
      <vt:variant>
        <vt:lpwstr/>
      </vt:variant>
      <vt:variant>
        <vt:i4>2228261</vt:i4>
      </vt:variant>
      <vt:variant>
        <vt:i4>29314</vt:i4>
      </vt:variant>
      <vt:variant>
        <vt:i4>1032</vt:i4>
      </vt:variant>
      <vt:variant>
        <vt:i4>1</vt:i4>
      </vt:variant>
      <vt:variant>
        <vt:lpwstr>http://www.1gl.ru/system/content/feature/image/2633957/</vt:lpwstr>
      </vt:variant>
      <vt:variant>
        <vt:lpwstr/>
      </vt:variant>
      <vt:variant>
        <vt:i4>2228261</vt:i4>
      </vt:variant>
      <vt:variant>
        <vt:i4>30300</vt:i4>
      </vt:variant>
      <vt:variant>
        <vt:i4>1034</vt:i4>
      </vt:variant>
      <vt:variant>
        <vt:i4>1</vt:i4>
      </vt:variant>
      <vt:variant>
        <vt:lpwstr>http://www.1gl.ru/system/content/feature/image/2633957/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2019-04-23T09:00:00Z</cp:lastPrinted>
  <dcterms:created xsi:type="dcterms:W3CDTF">2019-05-13T07:26:00Z</dcterms:created>
  <dcterms:modified xsi:type="dcterms:W3CDTF">2019-05-13T07:26:00Z</dcterms:modified>
</cp:coreProperties>
</file>