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A" w:rsidRPr="00D0491A" w:rsidRDefault="00D0491A" w:rsidP="00D0491A">
      <w:pPr>
        <w:jc w:val="center"/>
        <w:rPr>
          <w:b/>
        </w:rPr>
      </w:pPr>
      <w:r w:rsidRPr="00D0491A">
        <w:rPr>
          <w:b/>
        </w:rPr>
        <w:t>Описание объекта закупки (техническое задание)</w:t>
      </w:r>
    </w:p>
    <w:p w:rsidR="00D71400" w:rsidRDefault="00D71400" w:rsidP="00D71400">
      <w:pPr>
        <w:widowControl w:val="0"/>
        <w:jc w:val="both"/>
        <w:rPr>
          <w:b/>
        </w:rPr>
      </w:pPr>
    </w:p>
    <w:p w:rsidR="00705C01" w:rsidRPr="00705C01" w:rsidRDefault="00D0491A" w:rsidP="00D0491A">
      <w:pPr>
        <w:autoSpaceDE w:val="0"/>
        <w:autoSpaceDN w:val="0"/>
        <w:adjustRightInd w:val="0"/>
        <w:jc w:val="both"/>
      </w:pPr>
      <w:r>
        <w:t>А</w:t>
      </w:r>
      <w:r w:rsidR="00705C01" w:rsidRPr="00705C01">
        <w:t>втомобил</w:t>
      </w:r>
      <w:r>
        <w:t>и</w:t>
      </w:r>
      <w:r>
        <w:rPr>
          <w:bCs/>
          <w:color w:val="000000"/>
        </w:rPr>
        <w:t xml:space="preserve"> (дале</w:t>
      </w:r>
      <w:proofErr w:type="gramStart"/>
      <w:r>
        <w:rPr>
          <w:bCs/>
          <w:color w:val="000000"/>
        </w:rPr>
        <w:t>е-</w:t>
      </w:r>
      <w:proofErr w:type="gramEnd"/>
      <w:r>
        <w:rPr>
          <w:bCs/>
          <w:color w:val="000000"/>
        </w:rPr>
        <w:t xml:space="preserve"> Изделие).</w:t>
      </w:r>
    </w:p>
    <w:p w:rsidR="00705C01" w:rsidRPr="00705C01" w:rsidRDefault="00705C01" w:rsidP="00912589">
      <w:pPr>
        <w:jc w:val="both"/>
        <w:rPr>
          <w:bCs/>
          <w:lang w:eastAsia="en-US"/>
        </w:rPr>
      </w:pPr>
    </w:p>
    <w:p w:rsidR="00705C01" w:rsidRPr="00705C01" w:rsidRDefault="00705C01" w:rsidP="00912589">
      <w:pPr>
        <w:jc w:val="both"/>
        <w:rPr>
          <w:lang w:eastAsia="en-US"/>
        </w:rPr>
      </w:pPr>
      <w:r w:rsidRPr="00705C01">
        <w:rPr>
          <w:lang w:eastAsia="en-US"/>
        </w:rPr>
        <w:t>1. Функциональные, технические и качественные характеристики Изделий.</w:t>
      </w:r>
    </w:p>
    <w:p w:rsidR="00705C01" w:rsidRPr="00705C01" w:rsidRDefault="00705C01" w:rsidP="00912589">
      <w:pPr>
        <w:rPr>
          <w:lang w:eastAsia="ar-SA"/>
        </w:rPr>
      </w:pPr>
      <w:r w:rsidRPr="00705C01">
        <w:t xml:space="preserve">1.1. </w:t>
      </w:r>
      <w:r w:rsidRPr="00705C01">
        <w:rPr>
          <w:lang w:eastAsia="en-US"/>
        </w:rPr>
        <w:t>Функциональные и технические характеристики Изделий</w:t>
      </w:r>
      <w:r w:rsidRPr="00705C01">
        <w:rPr>
          <w:vertAlign w:val="superscript"/>
        </w:rPr>
        <w:footnoteReference w:id="1"/>
      </w:r>
      <w:r w:rsidRPr="00705C01">
        <w:rPr>
          <w:lang w:eastAsia="ar-SA"/>
        </w:rPr>
        <w:t>:</w:t>
      </w:r>
    </w:p>
    <w:p w:rsidR="00705C01" w:rsidRPr="00705C01" w:rsidRDefault="00705C01" w:rsidP="00912589">
      <w:pPr>
        <w:rPr>
          <w:lang w:eastAsia="ar-SA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1134"/>
        <w:gridCol w:w="1134"/>
        <w:gridCol w:w="992"/>
        <w:gridCol w:w="2458"/>
        <w:gridCol w:w="1228"/>
        <w:gridCol w:w="1040"/>
        <w:gridCol w:w="709"/>
      </w:tblGrid>
      <w:tr w:rsidR="00705C01" w:rsidRPr="00705C01" w:rsidTr="00912589">
        <w:trPr>
          <w:trHeight w:val="1114"/>
        </w:trPr>
        <w:tc>
          <w:tcPr>
            <w:tcW w:w="831" w:type="dxa"/>
          </w:tcPr>
          <w:p w:rsidR="00705C01" w:rsidRPr="00705C01" w:rsidRDefault="00705C01" w:rsidP="00912589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705C01">
              <w:rPr>
                <w:rFonts w:eastAsia="Times New Roman"/>
                <w:sz w:val="22"/>
                <w:szCs w:val="22"/>
              </w:rPr>
              <w:t>Наименование Изделия</w:t>
            </w:r>
          </w:p>
          <w:p w:rsidR="00705C01" w:rsidRPr="00705C01" w:rsidRDefault="00705C01" w:rsidP="00912589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705C01">
              <w:rPr>
                <w:rFonts w:eastAsia="Times New Roman"/>
                <w:sz w:val="22"/>
                <w:szCs w:val="22"/>
              </w:rPr>
              <w:t>по</w:t>
            </w:r>
          </w:p>
          <w:p w:rsidR="00705C01" w:rsidRPr="00705C01" w:rsidRDefault="00705C01" w:rsidP="00912589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705C01">
              <w:rPr>
                <w:rFonts w:eastAsia="Times New Roman"/>
                <w:sz w:val="22"/>
                <w:szCs w:val="22"/>
              </w:rPr>
              <w:t>КТРУ</w:t>
            </w:r>
          </w:p>
        </w:tc>
        <w:tc>
          <w:tcPr>
            <w:tcW w:w="1134" w:type="dxa"/>
          </w:tcPr>
          <w:p w:rsidR="00705C01" w:rsidRPr="00705C01" w:rsidRDefault="00705C01" w:rsidP="00912589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705C01">
              <w:rPr>
                <w:rFonts w:eastAsia="Times New Roman"/>
                <w:sz w:val="22"/>
                <w:szCs w:val="22"/>
              </w:rPr>
              <w:t>Описание Изделия по КТРУ</w:t>
            </w:r>
          </w:p>
        </w:tc>
        <w:tc>
          <w:tcPr>
            <w:tcW w:w="1134" w:type="dxa"/>
          </w:tcPr>
          <w:p w:rsidR="00705C01" w:rsidRPr="00705C01" w:rsidRDefault="00705C01" w:rsidP="00912589">
            <w:pPr>
              <w:widowControl w:val="0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705C01">
              <w:rPr>
                <w:rFonts w:eastAsia="Times New Roman"/>
                <w:sz w:val="22"/>
                <w:szCs w:val="22"/>
              </w:rPr>
              <w:t>Наименование Изделия</w:t>
            </w:r>
          </w:p>
          <w:p w:rsidR="00705C01" w:rsidRPr="00705C01" w:rsidRDefault="00705C01" w:rsidP="00912589">
            <w:pPr>
              <w:widowControl w:val="0"/>
              <w:suppressAutoHyphens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705C01">
              <w:rPr>
                <w:rFonts w:eastAsia="Times New Roman"/>
                <w:sz w:val="22"/>
                <w:szCs w:val="22"/>
              </w:rPr>
              <w:t>по ОКПД-2 (код ОКПД-2)</w:t>
            </w:r>
          </w:p>
        </w:tc>
        <w:tc>
          <w:tcPr>
            <w:tcW w:w="992" w:type="dxa"/>
          </w:tcPr>
          <w:p w:rsidR="00705C01" w:rsidRPr="00705C01" w:rsidRDefault="00705C01" w:rsidP="00912589">
            <w:pPr>
              <w:jc w:val="center"/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 xml:space="preserve">Наименование Изделия </w:t>
            </w:r>
          </w:p>
          <w:p w:rsidR="00705C01" w:rsidRPr="00705C01" w:rsidRDefault="00705C01" w:rsidP="00912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5C01" w:rsidRPr="00705C01" w:rsidRDefault="00705C01" w:rsidP="0091258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Характеристики Изделий</w:t>
            </w:r>
          </w:p>
        </w:tc>
        <w:tc>
          <w:tcPr>
            <w:tcW w:w="1228" w:type="dxa"/>
          </w:tcPr>
          <w:p w:rsidR="00705C01" w:rsidRPr="00705C01" w:rsidRDefault="00705C01" w:rsidP="0091258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 xml:space="preserve">Показатель </w:t>
            </w:r>
            <w:r w:rsidRPr="00705C01">
              <w:rPr>
                <w:bCs/>
                <w:sz w:val="22"/>
                <w:szCs w:val="22"/>
              </w:rPr>
              <w:t>характеристики используемого товара</w:t>
            </w:r>
          </w:p>
        </w:tc>
        <w:tc>
          <w:tcPr>
            <w:tcW w:w="1040" w:type="dxa"/>
          </w:tcPr>
          <w:p w:rsidR="00705C01" w:rsidRPr="00705C01" w:rsidRDefault="00705C01" w:rsidP="0091258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09" w:type="dxa"/>
          </w:tcPr>
          <w:p w:rsidR="00705C01" w:rsidRPr="00705C01" w:rsidRDefault="00705C01" w:rsidP="0091258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Количество (объем) Изделий, шт.</w:t>
            </w:r>
          </w:p>
        </w:tc>
      </w:tr>
      <w:tr w:rsidR="00705C01" w:rsidRPr="00705C01" w:rsidTr="00912589">
        <w:trPr>
          <w:trHeight w:val="529"/>
        </w:trPr>
        <w:tc>
          <w:tcPr>
            <w:tcW w:w="831" w:type="dxa"/>
            <w:vMerge w:val="restart"/>
          </w:tcPr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t>Сведения</w:t>
            </w:r>
          </w:p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t>отсутствуют в КТРУ</w:t>
            </w:r>
          </w:p>
        </w:tc>
        <w:tc>
          <w:tcPr>
            <w:tcW w:w="1134" w:type="dxa"/>
            <w:vMerge w:val="restart"/>
          </w:tcPr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t>Сведения</w:t>
            </w:r>
          </w:p>
          <w:p w:rsidR="00705C01" w:rsidRPr="00705C01" w:rsidRDefault="00705C01" w:rsidP="00912589">
            <w:pPr>
              <w:jc w:val="center"/>
            </w:pPr>
            <w:r w:rsidRPr="00705C01">
              <w:rPr>
                <w:bCs/>
              </w:rPr>
              <w:t>отсутствуют в КТРУ</w:t>
            </w:r>
          </w:p>
        </w:tc>
        <w:tc>
          <w:tcPr>
            <w:tcW w:w="1134" w:type="dxa"/>
            <w:vMerge w:val="restart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rPr>
                <w:rFonts w:eastAsia="Times New Roman"/>
                <w:shd w:val="clear" w:color="auto" w:fill="FFFFFF"/>
              </w:rPr>
              <w:t>Средства автотранспортные специального назначения прочие, не включенные в другие группировки (29.10.59.390)</w:t>
            </w:r>
          </w:p>
        </w:tc>
        <w:tc>
          <w:tcPr>
            <w:tcW w:w="992" w:type="dxa"/>
            <w:vMerge w:val="restart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Автомобиль легковой</w:t>
            </w:r>
          </w:p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Ручное управление без участия обеих нижних конечностей</w:t>
            </w:r>
          </w:p>
        </w:tc>
        <w:tc>
          <w:tcPr>
            <w:tcW w:w="1228" w:type="dxa"/>
          </w:tcPr>
          <w:p w:rsidR="00705C01" w:rsidRPr="00705C01" w:rsidRDefault="00705C01" w:rsidP="00912589"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 w:val="restart"/>
          </w:tcPr>
          <w:p w:rsidR="00705C01" w:rsidRPr="00705C01" w:rsidRDefault="00705C01" w:rsidP="00912589">
            <w:r w:rsidRPr="00705C01">
              <w:t>Программа</w:t>
            </w:r>
          </w:p>
          <w:p w:rsidR="00705C01" w:rsidRPr="00705C01" w:rsidRDefault="00705C01" w:rsidP="00912589">
            <w:r w:rsidRPr="00705C01">
              <w:t xml:space="preserve">Реабилитации пострадавших (далее-ПРП) и медицинское заключение </w:t>
            </w:r>
          </w:p>
        </w:tc>
        <w:tc>
          <w:tcPr>
            <w:tcW w:w="709" w:type="dxa"/>
            <w:vMerge w:val="restart"/>
          </w:tcPr>
          <w:p w:rsidR="00705C01" w:rsidRPr="00705C01" w:rsidRDefault="00705C01" w:rsidP="00912589">
            <w:pPr>
              <w:jc w:val="center"/>
            </w:pPr>
            <w:r w:rsidRPr="00705C01">
              <w:t>1</w:t>
            </w:r>
          </w:p>
        </w:tc>
      </w:tr>
      <w:tr w:rsidR="00705C01" w:rsidRPr="00705C01" w:rsidTr="00912589">
        <w:trPr>
          <w:trHeight w:val="878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>
            <w:pPr>
              <w:jc w:val="center"/>
            </w:pPr>
          </w:p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Ручное управление коробки передач (механическая коробка переключения передач)</w:t>
            </w:r>
          </w:p>
        </w:tc>
        <w:tc>
          <w:tcPr>
            <w:tcW w:w="1228" w:type="dxa"/>
          </w:tcPr>
          <w:p w:rsidR="00705C01" w:rsidRPr="00705C01" w:rsidRDefault="00705C01" w:rsidP="00912589"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</w:tcPr>
          <w:p w:rsidR="00705C01" w:rsidRPr="00705C01" w:rsidRDefault="00705C01" w:rsidP="00912589"/>
        </w:tc>
        <w:tc>
          <w:tcPr>
            <w:tcW w:w="709" w:type="dxa"/>
            <w:vMerge/>
          </w:tcPr>
          <w:p w:rsidR="00705C01" w:rsidRPr="00705C01" w:rsidRDefault="00705C01" w:rsidP="00912589"/>
        </w:tc>
      </w:tr>
      <w:tr w:rsidR="00705C01" w:rsidRPr="00705C01" w:rsidTr="00912589">
        <w:trPr>
          <w:trHeight w:val="1035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>
            <w:pPr>
              <w:jc w:val="center"/>
            </w:pPr>
          </w:p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</w:t>
            </w:r>
          </w:p>
        </w:tc>
        <w:tc>
          <w:tcPr>
            <w:tcW w:w="1228" w:type="dxa"/>
          </w:tcPr>
          <w:p w:rsidR="00705C01" w:rsidRPr="00705C01" w:rsidRDefault="00705C01" w:rsidP="00912589">
            <w:pPr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</w:tcPr>
          <w:p w:rsidR="00705C01" w:rsidRPr="00705C01" w:rsidRDefault="00705C01" w:rsidP="00912589"/>
        </w:tc>
        <w:tc>
          <w:tcPr>
            <w:tcW w:w="709" w:type="dxa"/>
            <w:vMerge/>
          </w:tcPr>
          <w:p w:rsidR="00705C01" w:rsidRPr="00705C01" w:rsidRDefault="00705C01" w:rsidP="00912589"/>
        </w:tc>
      </w:tr>
      <w:tr w:rsidR="00705C01" w:rsidRPr="00705C01" w:rsidTr="00912589">
        <w:trPr>
          <w:trHeight w:val="416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>
            <w:pPr>
              <w:jc w:val="center"/>
            </w:pPr>
          </w:p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r w:rsidRPr="00705C01">
              <w:t>Год выпуска-не ранее 2019</w:t>
            </w:r>
          </w:p>
        </w:tc>
        <w:tc>
          <w:tcPr>
            <w:tcW w:w="1228" w:type="dxa"/>
          </w:tcPr>
          <w:p w:rsidR="00705C01" w:rsidRPr="00705C01" w:rsidRDefault="00705C01" w:rsidP="00912589">
            <w:pPr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</w:tcPr>
          <w:p w:rsidR="00705C01" w:rsidRPr="00705C01" w:rsidRDefault="00705C01" w:rsidP="00912589"/>
        </w:tc>
        <w:tc>
          <w:tcPr>
            <w:tcW w:w="709" w:type="dxa"/>
            <w:vMerge/>
          </w:tcPr>
          <w:p w:rsidR="00705C01" w:rsidRPr="00705C01" w:rsidRDefault="00705C01" w:rsidP="00912589"/>
        </w:tc>
      </w:tr>
      <w:tr w:rsidR="00705C01" w:rsidRPr="00705C01" w:rsidTr="00912589">
        <w:tc>
          <w:tcPr>
            <w:tcW w:w="831" w:type="dxa"/>
            <w:vMerge w:val="restart"/>
          </w:tcPr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t>Сведения</w:t>
            </w:r>
          </w:p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lastRenderedPageBreak/>
              <w:t>отсутствуют в КТРУ</w:t>
            </w:r>
          </w:p>
        </w:tc>
        <w:tc>
          <w:tcPr>
            <w:tcW w:w="1134" w:type="dxa"/>
            <w:vMerge w:val="restart"/>
          </w:tcPr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lastRenderedPageBreak/>
              <w:t>Сведения</w:t>
            </w:r>
          </w:p>
          <w:p w:rsidR="00705C01" w:rsidRPr="00705C01" w:rsidRDefault="00705C01" w:rsidP="00912589">
            <w:pPr>
              <w:jc w:val="center"/>
            </w:pPr>
            <w:r w:rsidRPr="00705C01">
              <w:rPr>
                <w:bCs/>
              </w:rPr>
              <w:lastRenderedPageBreak/>
              <w:t>отсутствуют в КТРУ</w:t>
            </w:r>
          </w:p>
        </w:tc>
        <w:tc>
          <w:tcPr>
            <w:tcW w:w="1134" w:type="dxa"/>
            <w:vMerge w:val="restart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rPr>
                <w:rFonts w:eastAsia="Times New Roman"/>
                <w:shd w:val="clear" w:color="auto" w:fill="FFFFFF"/>
              </w:rPr>
              <w:lastRenderedPageBreak/>
              <w:t>Средства автотран</w:t>
            </w:r>
            <w:r w:rsidRPr="00705C01">
              <w:rPr>
                <w:rFonts w:eastAsia="Times New Roman"/>
                <w:shd w:val="clear" w:color="auto" w:fill="FFFFFF"/>
              </w:rPr>
              <w:lastRenderedPageBreak/>
              <w:t>спортные специального назначения прочие, не включенные в другие группировки (29.10.59.390)</w:t>
            </w:r>
          </w:p>
        </w:tc>
        <w:tc>
          <w:tcPr>
            <w:tcW w:w="992" w:type="dxa"/>
            <w:vMerge w:val="restart"/>
          </w:tcPr>
          <w:p w:rsidR="00705C01" w:rsidRPr="00705C01" w:rsidRDefault="00705C01" w:rsidP="00912589">
            <w:r w:rsidRPr="00705C01">
              <w:lastRenderedPageBreak/>
              <w:t xml:space="preserve">Автомобиль </w:t>
            </w:r>
            <w:r w:rsidRPr="00705C01">
              <w:lastRenderedPageBreak/>
              <w:t>легковой</w:t>
            </w:r>
          </w:p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lastRenderedPageBreak/>
              <w:t>Ручное управление без участия правой нижней конечности</w:t>
            </w:r>
          </w:p>
        </w:tc>
        <w:tc>
          <w:tcPr>
            <w:tcW w:w="1228" w:type="dxa"/>
          </w:tcPr>
          <w:p w:rsidR="00705C01" w:rsidRPr="00705C01" w:rsidRDefault="00705C01" w:rsidP="00912589">
            <w:r w:rsidRPr="00705C01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 w:val="restart"/>
          </w:tcPr>
          <w:p w:rsidR="00705C01" w:rsidRPr="00705C01" w:rsidRDefault="00705C01" w:rsidP="00912589">
            <w:pPr>
              <w:suppressAutoHyphens/>
              <w:jc w:val="center"/>
            </w:pPr>
            <w:r w:rsidRPr="00705C01">
              <w:t>ПРП и медици</w:t>
            </w:r>
            <w:r w:rsidRPr="00705C01">
              <w:lastRenderedPageBreak/>
              <w:t>нское заключение</w:t>
            </w:r>
          </w:p>
        </w:tc>
        <w:tc>
          <w:tcPr>
            <w:tcW w:w="709" w:type="dxa"/>
            <w:vMerge w:val="restart"/>
          </w:tcPr>
          <w:p w:rsidR="00705C01" w:rsidRPr="00705C01" w:rsidRDefault="00705C01" w:rsidP="00912589">
            <w:pPr>
              <w:suppressAutoHyphens/>
              <w:jc w:val="center"/>
            </w:pPr>
            <w:r w:rsidRPr="00705C01">
              <w:lastRenderedPageBreak/>
              <w:t>1</w:t>
            </w:r>
          </w:p>
        </w:tc>
      </w:tr>
      <w:tr w:rsidR="00705C01" w:rsidRPr="00705C01" w:rsidTr="00912589">
        <w:trPr>
          <w:trHeight w:val="1266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>
            <w:pPr>
              <w:jc w:val="center"/>
            </w:pPr>
          </w:p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Ручное управление коробки передач (механическая коробка переключения передач)</w:t>
            </w:r>
          </w:p>
        </w:tc>
        <w:tc>
          <w:tcPr>
            <w:tcW w:w="1228" w:type="dxa"/>
          </w:tcPr>
          <w:p w:rsidR="00705C01" w:rsidRPr="00705C01" w:rsidRDefault="00705C01" w:rsidP="00912589">
            <w:r w:rsidRPr="00705C01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</w:tcPr>
          <w:p w:rsidR="00705C01" w:rsidRPr="00705C01" w:rsidRDefault="00705C01" w:rsidP="00912589">
            <w:pPr>
              <w:suppressAutoHyphens/>
              <w:jc w:val="center"/>
            </w:pPr>
          </w:p>
        </w:tc>
        <w:tc>
          <w:tcPr>
            <w:tcW w:w="709" w:type="dxa"/>
            <w:vMerge/>
          </w:tcPr>
          <w:p w:rsidR="00705C01" w:rsidRPr="00705C01" w:rsidRDefault="00705C01" w:rsidP="00912589">
            <w:pPr>
              <w:suppressAutoHyphens/>
              <w:jc w:val="center"/>
            </w:pPr>
          </w:p>
        </w:tc>
      </w:tr>
      <w:tr w:rsidR="00705C01" w:rsidRPr="00705C01" w:rsidTr="00912589">
        <w:trPr>
          <w:trHeight w:val="945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>
            <w:pPr>
              <w:jc w:val="center"/>
            </w:pPr>
          </w:p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</w:t>
            </w:r>
          </w:p>
        </w:tc>
        <w:tc>
          <w:tcPr>
            <w:tcW w:w="1228" w:type="dxa"/>
          </w:tcPr>
          <w:p w:rsidR="00705C01" w:rsidRPr="00705C01" w:rsidRDefault="00705C01" w:rsidP="00912589">
            <w:pPr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</w:tcPr>
          <w:p w:rsidR="00705C01" w:rsidRPr="00705C01" w:rsidRDefault="00705C01" w:rsidP="00912589">
            <w:pPr>
              <w:suppressAutoHyphens/>
              <w:jc w:val="center"/>
            </w:pPr>
          </w:p>
        </w:tc>
        <w:tc>
          <w:tcPr>
            <w:tcW w:w="709" w:type="dxa"/>
            <w:vMerge/>
          </w:tcPr>
          <w:p w:rsidR="00705C01" w:rsidRPr="00705C01" w:rsidRDefault="00705C01" w:rsidP="00912589">
            <w:pPr>
              <w:suppressAutoHyphens/>
              <w:jc w:val="center"/>
            </w:pPr>
          </w:p>
        </w:tc>
      </w:tr>
      <w:tr w:rsidR="00705C01" w:rsidRPr="00705C01" w:rsidTr="00912589">
        <w:trPr>
          <w:trHeight w:val="645"/>
        </w:trPr>
        <w:tc>
          <w:tcPr>
            <w:tcW w:w="831" w:type="dxa"/>
            <w:vMerge/>
            <w:tcBorders>
              <w:bottom w:val="nil"/>
            </w:tcBorders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>
            <w:pPr>
              <w:jc w:val="center"/>
            </w:pPr>
          </w:p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r w:rsidRPr="00705C01">
              <w:t>Год выпуска-не ранее 2019</w:t>
            </w:r>
          </w:p>
        </w:tc>
        <w:tc>
          <w:tcPr>
            <w:tcW w:w="1228" w:type="dxa"/>
          </w:tcPr>
          <w:p w:rsidR="00705C01" w:rsidRPr="00705C01" w:rsidRDefault="00705C01" w:rsidP="00912589">
            <w:pPr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</w:tcPr>
          <w:p w:rsidR="00705C01" w:rsidRPr="00705C01" w:rsidRDefault="00705C01" w:rsidP="00912589">
            <w:pPr>
              <w:suppressAutoHyphens/>
              <w:jc w:val="center"/>
            </w:pPr>
          </w:p>
        </w:tc>
        <w:tc>
          <w:tcPr>
            <w:tcW w:w="709" w:type="dxa"/>
            <w:vMerge/>
          </w:tcPr>
          <w:p w:rsidR="00705C01" w:rsidRPr="00705C01" w:rsidRDefault="00705C01" w:rsidP="00912589">
            <w:pPr>
              <w:suppressAutoHyphens/>
              <w:jc w:val="center"/>
            </w:pPr>
          </w:p>
        </w:tc>
      </w:tr>
      <w:tr w:rsidR="00705C01" w:rsidRPr="00705C01" w:rsidTr="00912589">
        <w:trPr>
          <w:trHeight w:val="529"/>
        </w:trPr>
        <w:tc>
          <w:tcPr>
            <w:tcW w:w="831" w:type="dxa"/>
            <w:vMerge w:val="restart"/>
          </w:tcPr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t>Сведения</w:t>
            </w:r>
          </w:p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t xml:space="preserve">отсутствуют в </w:t>
            </w:r>
            <w:proofErr w:type="spellStart"/>
            <w:r w:rsidRPr="00705C01">
              <w:rPr>
                <w:bCs/>
              </w:rPr>
              <w:t>КТРУответа</w:t>
            </w:r>
            <w:proofErr w:type="spellEnd"/>
          </w:p>
        </w:tc>
        <w:tc>
          <w:tcPr>
            <w:tcW w:w="1134" w:type="dxa"/>
            <w:vMerge w:val="restart"/>
          </w:tcPr>
          <w:p w:rsidR="00705C01" w:rsidRPr="00705C01" w:rsidRDefault="00705C01" w:rsidP="00912589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705C01">
              <w:rPr>
                <w:bCs/>
              </w:rPr>
              <w:t>Сведения</w:t>
            </w:r>
          </w:p>
          <w:p w:rsidR="00705C01" w:rsidRPr="00705C01" w:rsidRDefault="00705C01" w:rsidP="00912589">
            <w:pPr>
              <w:jc w:val="center"/>
            </w:pPr>
            <w:r w:rsidRPr="00705C01">
              <w:rPr>
                <w:bCs/>
              </w:rPr>
              <w:t>отсутствуют в КТРУ</w:t>
            </w:r>
          </w:p>
        </w:tc>
        <w:tc>
          <w:tcPr>
            <w:tcW w:w="1134" w:type="dxa"/>
            <w:vMerge w:val="restart"/>
          </w:tcPr>
          <w:p w:rsidR="00705C01" w:rsidRPr="00705C01" w:rsidRDefault="00705C01" w:rsidP="00912589">
            <w:r w:rsidRPr="00705C01">
              <w:rPr>
                <w:rFonts w:eastAsia="Times New Roman"/>
                <w:shd w:val="clear" w:color="auto" w:fill="FFFFFF"/>
              </w:rPr>
              <w:t>Средства автотранспортные специального назначения прочие, не включенные в другие группировки (29.10.59.390)</w:t>
            </w:r>
          </w:p>
        </w:tc>
        <w:tc>
          <w:tcPr>
            <w:tcW w:w="992" w:type="dxa"/>
            <w:vMerge w:val="restart"/>
          </w:tcPr>
          <w:p w:rsidR="00705C01" w:rsidRPr="00705C01" w:rsidRDefault="00705C01" w:rsidP="00912589">
            <w:r w:rsidRPr="00705C01">
              <w:t>Автомобиль легковой</w:t>
            </w:r>
          </w:p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Ручное управление без участия обеих нижних конечностей</w:t>
            </w:r>
          </w:p>
        </w:tc>
        <w:tc>
          <w:tcPr>
            <w:tcW w:w="1228" w:type="dxa"/>
          </w:tcPr>
          <w:p w:rsidR="00705C01" w:rsidRPr="00705C01" w:rsidRDefault="00705C01" w:rsidP="00912589"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 w:val="restart"/>
          </w:tcPr>
          <w:p w:rsidR="00705C01" w:rsidRPr="00705C01" w:rsidRDefault="00705C01" w:rsidP="00912589">
            <w:pPr>
              <w:jc w:val="center"/>
            </w:pPr>
            <w:r w:rsidRPr="00705C01">
              <w:t>ПРП и медицинское заключение</w:t>
            </w:r>
          </w:p>
        </w:tc>
        <w:tc>
          <w:tcPr>
            <w:tcW w:w="709" w:type="dxa"/>
            <w:vMerge w:val="restart"/>
          </w:tcPr>
          <w:p w:rsidR="00705C01" w:rsidRPr="00705C01" w:rsidRDefault="00705C01" w:rsidP="00912589">
            <w:pPr>
              <w:jc w:val="center"/>
            </w:pPr>
            <w:r w:rsidRPr="00705C01">
              <w:t>1</w:t>
            </w:r>
          </w:p>
        </w:tc>
      </w:tr>
      <w:tr w:rsidR="00705C01" w:rsidRPr="00705C01" w:rsidTr="00912589">
        <w:trPr>
          <w:trHeight w:val="1403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Автоматическое управление коробки передач (автоматическая коробка переключения передач)</w:t>
            </w:r>
          </w:p>
        </w:tc>
        <w:tc>
          <w:tcPr>
            <w:tcW w:w="1228" w:type="dxa"/>
          </w:tcPr>
          <w:p w:rsidR="00705C01" w:rsidRPr="00705C01" w:rsidRDefault="00705C01" w:rsidP="00912589"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  <w:vAlign w:val="center"/>
          </w:tcPr>
          <w:p w:rsidR="00705C01" w:rsidRPr="00705C01" w:rsidRDefault="00705C01" w:rsidP="00912589"/>
        </w:tc>
        <w:tc>
          <w:tcPr>
            <w:tcW w:w="709" w:type="dxa"/>
            <w:vMerge/>
          </w:tcPr>
          <w:p w:rsidR="00705C01" w:rsidRPr="00705C01" w:rsidRDefault="00705C01" w:rsidP="00912589"/>
        </w:tc>
      </w:tr>
      <w:tr w:rsidR="00705C01" w:rsidRPr="00705C01" w:rsidTr="00912589">
        <w:trPr>
          <w:trHeight w:val="600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pPr>
              <w:spacing w:line="192" w:lineRule="auto"/>
            </w:pPr>
            <w:r w:rsidRPr="00705C01">
              <w:t>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</w:t>
            </w:r>
          </w:p>
        </w:tc>
        <w:tc>
          <w:tcPr>
            <w:tcW w:w="1228" w:type="dxa"/>
          </w:tcPr>
          <w:p w:rsidR="00705C01" w:rsidRPr="00705C01" w:rsidRDefault="00705C01" w:rsidP="00912589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vAlign w:val="center"/>
          </w:tcPr>
          <w:p w:rsidR="00705C01" w:rsidRPr="00705C01" w:rsidRDefault="00705C01" w:rsidP="00912589"/>
        </w:tc>
        <w:tc>
          <w:tcPr>
            <w:tcW w:w="709" w:type="dxa"/>
            <w:vMerge/>
          </w:tcPr>
          <w:p w:rsidR="00705C01" w:rsidRPr="00705C01" w:rsidRDefault="00705C01" w:rsidP="00912589"/>
        </w:tc>
      </w:tr>
      <w:tr w:rsidR="00705C01" w:rsidRPr="00705C01" w:rsidTr="00912589">
        <w:trPr>
          <w:trHeight w:val="495"/>
        </w:trPr>
        <w:tc>
          <w:tcPr>
            <w:tcW w:w="831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1134" w:type="dxa"/>
            <w:vMerge/>
          </w:tcPr>
          <w:p w:rsidR="00705C01" w:rsidRPr="00705C01" w:rsidRDefault="00705C01" w:rsidP="00912589"/>
        </w:tc>
        <w:tc>
          <w:tcPr>
            <w:tcW w:w="992" w:type="dxa"/>
            <w:vMerge/>
          </w:tcPr>
          <w:p w:rsidR="00705C01" w:rsidRPr="00705C01" w:rsidRDefault="00705C01" w:rsidP="00912589"/>
        </w:tc>
        <w:tc>
          <w:tcPr>
            <w:tcW w:w="2458" w:type="dxa"/>
          </w:tcPr>
          <w:p w:rsidR="00705C01" w:rsidRPr="00705C01" w:rsidRDefault="00705C01" w:rsidP="00912589">
            <w:r w:rsidRPr="00705C01">
              <w:t>Год выпуска-не ранее 2019</w:t>
            </w:r>
          </w:p>
        </w:tc>
        <w:tc>
          <w:tcPr>
            <w:tcW w:w="1228" w:type="dxa"/>
          </w:tcPr>
          <w:p w:rsidR="00705C01" w:rsidRPr="00705C01" w:rsidRDefault="00705C01" w:rsidP="00912589">
            <w:pPr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наличие</w:t>
            </w:r>
          </w:p>
        </w:tc>
        <w:tc>
          <w:tcPr>
            <w:tcW w:w="1040" w:type="dxa"/>
            <w:vMerge/>
            <w:vAlign w:val="center"/>
          </w:tcPr>
          <w:p w:rsidR="00705C01" w:rsidRPr="00705C01" w:rsidRDefault="00705C01" w:rsidP="00912589"/>
        </w:tc>
        <w:tc>
          <w:tcPr>
            <w:tcW w:w="709" w:type="dxa"/>
            <w:vMerge/>
          </w:tcPr>
          <w:p w:rsidR="00705C01" w:rsidRPr="00705C01" w:rsidRDefault="00705C01" w:rsidP="00912589"/>
        </w:tc>
      </w:tr>
      <w:tr w:rsidR="00705C01" w:rsidRPr="00705C01" w:rsidTr="00912589">
        <w:trPr>
          <w:trHeight w:val="251"/>
        </w:trPr>
        <w:tc>
          <w:tcPr>
            <w:tcW w:w="8817" w:type="dxa"/>
            <w:gridSpan w:val="7"/>
          </w:tcPr>
          <w:p w:rsidR="00705C01" w:rsidRPr="00705C01" w:rsidRDefault="00705C01" w:rsidP="00912589">
            <w:pPr>
              <w:suppressAutoHyphens/>
              <w:jc w:val="right"/>
            </w:pPr>
            <w:r w:rsidRPr="00705C01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705C01" w:rsidRPr="00705C01" w:rsidRDefault="00705C01" w:rsidP="00912589">
            <w:pPr>
              <w:suppressAutoHyphens/>
              <w:jc w:val="center"/>
              <w:rPr>
                <w:sz w:val="22"/>
                <w:szCs w:val="22"/>
              </w:rPr>
            </w:pPr>
            <w:r w:rsidRPr="00705C01">
              <w:rPr>
                <w:sz w:val="22"/>
                <w:szCs w:val="22"/>
              </w:rPr>
              <w:t>3</w:t>
            </w:r>
          </w:p>
        </w:tc>
      </w:tr>
    </w:tbl>
    <w:p w:rsidR="00705C01" w:rsidRPr="00705C01" w:rsidRDefault="00705C01" w:rsidP="00912589">
      <w:pPr>
        <w:jc w:val="both"/>
        <w:rPr>
          <w:sz w:val="23"/>
          <w:szCs w:val="23"/>
          <w:lang w:eastAsia="en-US"/>
        </w:rPr>
      </w:pPr>
    </w:p>
    <w:p w:rsidR="00705C01" w:rsidRPr="00705C01" w:rsidRDefault="00705C01" w:rsidP="00912589">
      <w:pPr>
        <w:jc w:val="both"/>
        <w:rPr>
          <w:b/>
          <w:lang w:eastAsia="en-US"/>
        </w:rPr>
      </w:pPr>
      <w:r w:rsidRPr="00705C01">
        <w:rPr>
          <w:b/>
          <w:lang w:eastAsia="en-US"/>
        </w:rPr>
        <w:t>1.2. Качественные характеристики Изделий.</w:t>
      </w:r>
    </w:p>
    <w:p w:rsidR="00705C01" w:rsidRPr="00705C01" w:rsidRDefault="00705C01" w:rsidP="00912589">
      <w:pPr>
        <w:jc w:val="both"/>
        <w:rPr>
          <w:spacing w:val="-4"/>
        </w:rPr>
      </w:pPr>
      <w:r w:rsidRPr="00705C01">
        <w:lastRenderedPageBreak/>
        <w:t>1.2.1. Поставить Изделия, имеющие действующие одобрения типа транспортного средства</w:t>
      </w:r>
      <w:r w:rsidRPr="00705C01">
        <w:rPr>
          <w:spacing w:val="-4"/>
        </w:rPr>
        <w:t>.</w:t>
      </w:r>
    </w:p>
    <w:p w:rsidR="00705C01" w:rsidRPr="00705C01" w:rsidRDefault="00705C01" w:rsidP="00912589">
      <w:pPr>
        <w:jc w:val="both"/>
        <w:rPr>
          <w:lang w:eastAsia="en-US"/>
        </w:rPr>
      </w:pPr>
      <w:r w:rsidRPr="00705C01">
        <w:t>Изделия не должны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05C01" w:rsidRPr="00705C01" w:rsidRDefault="00705C01" w:rsidP="00912589">
      <w:pPr>
        <w:widowControl w:val="0"/>
        <w:jc w:val="both"/>
        <w:rPr>
          <w:rFonts w:eastAsia="Arial Unicode MS"/>
        </w:rPr>
      </w:pPr>
      <w:r w:rsidRPr="00705C01">
        <w:rPr>
          <w:rFonts w:eastAsia="Arial Unicode MS"/>
        </w:rPr>
        <w:t xml:space="preserve">1.2.2. Срок гарантии Поставщика на Изделия должен составлять не менее 36 месяцев со дня его получения Получателем или не менее 100 тысяч километров пробега, в зависимости от того, какое условие наступит раньше. Срок гарантии производителя на Изделия должен составлять не менее 36 месяцев со дня его получения Получателем или не менее 100 тысяч километров пробега, в зависимости от того, какое условие наступит раньше. </w:t>
      </w:r>
    </w:p>
    <w:p w:rsidR="00705C01" w:rsidRPr="00705C01" w:rsidRDefault="00705C01" w:rsidP="00912589">
      <w:pPr>
        <w:widowControl w:val="0"/>
        <w:jc w:val="both"/>
        <w:rPr>
          <w:rFonts w:eastAsia="Arial Unicode MS"/>
        </w:rPr>
      </w:pPr>
      <w:r w:rsidRPr="00705C01">
        <w:rPr>
          <w:rFonts w:eastAsia="Arial Unicode MS"/>
        </w:rPr>
        <w:t xml:space="preserve">Срок выполнения гарантийного ремонта Изделий должен составлять не более 20 (двадцати) рабочих дней со дня обращения Получателя в пункт приема и гарантийного обслуживания. В случае необходимости получения запасной части, производимой за пределами Российской Федерации, срок выполнения гарантийного ремонта Изделий не должен превышать 2 (двух) месяцев со дня обращения Получателей. </w:t>
      </w:r>
      <w:r w:rsidRPr="00705C01">
        <w:t xml:space="preserve">При этом Заказчик и Получатель не несут расходов, связанных с осуществлением гарантийного ремонта. При выполнении работ по гарантийному ремонту и замене </w:t>
      </w:r>
      <w:r w:rsidRPr="00705C01">
        <w:rPr>
          <w:rFonts w:eastAsia="Arial Unicode MS"/>
        </w:rPr>
        <w:t>Изделий</w:t>
      </w:r>
      <w:r w:rsidRPr="00705C01">
        <w:t xml:space="preserve"> Поставщик руководствуется Федеральным законом от 07.02.1992 № 2300-1 «О защите прав потребителей».</w:t>
      </w:r>
    </w:p>
    <w:p w:rsidR="00705C01" w:rsidRPr="00705C01" w:rsidRDefault="00705C01" w:rsidP="00912589">
      <w:pPr>
        <w:jc w:val="both"/>
        <w:rPr>
          <w:lang w:eastAsia="en-US"/>
        </w:rPr>
      </w:pPr>
      <w:r w:rsidRPr="00705C01">
        <w:rPr>
          <w:spacing w:val="-4"/>
        </w:rPr>
        <w:t xml:space="preserve">1.2.3. </w:t>
      </w:r>
      <w:r w:rsidRPr="00705C01">
        <w:rPr>
          <w:lang w:eastAsia="en-US"/>
        </w:rPr>
        <w:t>Изделия должны соответствовать требованиям следующих законодательных актов, действующим на территории Российской Федерации:</w:t>
      </w:r>
    </w:p>
    <w:p w:rsidR="00705C01" w:rsidRPr="00705C01" w:rsidRDefault="00705C01" w:rsidP="00912589">
      <w:pPr>
        <w:jc w:val="both"/>
        <w:rPr>
          <w:rFonts w:eastAsia="Arial Unicode MS"/>
        </w:rPr>
      </w:pPr>
      <w:r w:rsidRPr="00705C01">
        <w:rPr>
          <w:rFonts w:eastAsia="Arial Unicode MS"/>
        </w:rPr>
        <w:t>Качество, маркировка, комплектность и безопасность Изделий должны соответствовать требованиям Федерального закона от 10.12.1995 № 196-ФЗ «О безопасности дорожного движения», Федерального закона от 27.12.2002 № 184-ФЗ «О техническом регулировании», Постановления Правительства РФ от 30.08.2012 № 870 «Об утилизации сборе колесных транспортных средств», технического регламента Таможенного союза «О безопасности колесных транспортных средств» утвержденного решением комиссии Таможенного союза от 09.12.2011 № 877, постановление Правительства Российской Федерации от 14.07.2014 № 656 «Об установлении запрета на допуск отдельных товаров машиностроения, происходящих за иностранных государств, для целей осуществления закупок для обеспечения государственных и муниципальных нужд».</w:t>
      </w:r>
    </w:p>
    <w:p w:rsidR="00705C01" w:rsidRPr="00705C01" w:rsidRDefault="00705C01" w:rsidP="00912589">
      <w:pPr>
        <w:autoSpaceDE w:val="0"/>
        <w:autoSpaceDN w:val="0"/>
        <w:adjustRightInd w:val="0"/>
        <w:jc w:val="both"/>
      </w:pPr>
      <w:r w:rsidRPr="00705C01">
        <w:t>Экологический класс автомобильной техники (согласно специальному техническому регламенту «О требованиях к выбросам автомобильной техникой, выпускаемой в обращение на территории Российской Федерации, вредных (загрязняющих) веществ», утвержденному постановлением Правительства РФ от 12.10.2005г. № 609) – не ниже 5.</w:t>
      </w:r>
    </w:p>
    <w:p w:rsidR="00705C01" w:rsidRPr="00705C01" w:rsidRDefault="00705C01" w:rsidP="00912589">
      <w:pPr>
        <w:tabs>
          <w:tab w:val="left" w:pos="9724"/>
        </w:tabs>
        <w:ind w:right="10"/>
        <w:jc w:val="both"/>
      </w:pPr>
      <w:r w:rsidRPr="00705C01">
        <w:rPr>
          <w:spacing w:val="-4"/>
        </w:rPr>
        <w:t xml:space="preserve">1.2.4. </w:t>
      </w:r>
      <w:r w:rsidRPr="00705C01">
        <w:t>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705C01" w:rsidRPr="00705C01" w:rsidRDefault="00705C01" w:rsidP="00912589">
      <w:pPr>
        <w:widowControl w:val="0"/>
        <w:jc w:val="both"/>
      </w:pPr>
      <w:r w:rsidRPr="00705C01">
        <w:rPr>
          <w:lang w:eastAsia="en-US"/>
        </w:rPr>
        <w:t>1.2.</w:t>
      </w:r>
      <w:r w:rsidRPr="00705C01">
        <w:t>5. Изделия должны быть свободными от прав третьих лиц.</w:t>
      </w:r>
    </w:p>
    <w:p w:rsidR="00D0491A" w:rsidRDefault="00D0491A" w:rsidP="00912589">
      <w:pPr>
        <w:jc w:val="both"/>
        <w:rPr>
          <w:b/>
          <w:bCs/>
        </w:rPr>
      </w:pPr>
    </w:p>
    <w:p w:rsidR="00705C01" w:rsidRPr="00705C01" w:rsidRDefault="00705C01" w:rsidP="00912589">
      <w:pPr>
        <w:jc w:val="both"/>
        <w:rPr>
          <w:b/>
          <w:bCs/>
        </w:rPr>
      </w:pPr>
      <w:bookmarkStart w:id="0" w:name="_GoBack"/>
      <w:bookmarkEnd w:id="0"/>
      <w:r w:rsidRPr="00705C01">
        <w:rPr>
          <w:b/>
          <w:bCs/>
        </w:rPr>
        <w:t>2. Условия исполнения контракта.</w:t>
      </w:r>
    </w:p>
    <w:p w:rsidR="00705C01" w:rsidRPr="00705C01" w:rsidRDefault="00705C01" w:rsidP="00912589">
      <w:pPr>
        <w:jc w:val="both"/>
        <w:rPr>
          <w:spacing w:val="-4"/>
        </w:rPr>
      </w:pPr>
      <w:r w:rsidRPr="00705C01">
        <w:rPr>
          <w:spacing w:val="-4"/>
        </w:rPr>
        <w:t xml:space="preserve">Осуществлять поставку путем передачи Изделий Получателям или их представителям при представлении ими документа, удостоверяющего личность. </w:t>
      </w:r>
    </w:p>
    <w:p w:rsidR="00705C01" w:rsidRPr="00705C01" w:rsidRDefault="00705C01" w:rsidP="00912589">
      <w:pPr>
        <w:suppressAutoHyphens/>
        <w:jc w:val="both"/>
        <w:rPr>
          <w:lang w:eastAsia="ar-SA"/>
        </w:rPr>
      </w:pPr>
      <w:r w:rsidRPr="00705C01">
        <w:rPr>
          <w:lang w:eastAsia="ar-SA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</w:t>
      </w:r>
    </w:p>
    <w:p w:rsidR="00705C01" w:rsidRPr="00705C01" w:rsidRDefault="00705C01" w:rsidP="00912589">
      <w:pPr>
        <w:jc w:val="both"/>
        <w:rPr>
          <w:spacing w:val="-4"/>
        </w:rPr>
      </w:pPr>
      <w:r w:rsidRPr="00705C01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автомобиля представителю Получателя</w:t>
      </w:r>
    </w:p>
    <w:p w:rsidR="00705C01" w:rsidRPr="00705C01" w:rsidRDefault="00705C01" w:rsidP="00912589">
      <w:pPr>
        <w:jc w:val="both"/>
        <w:rPr>
          <w:spacing w:val="-4"/>
        </w:rPr>
      </w:pPr>
      <w:r w:rsidRPr="00705C01">
        <w:rPr>
          <w:spacing w:val="-4"/>
        </w:rPr>
        <w:t xml:space="preserve">Передачу Изделий осуществлять в соответствии с направлениями Заказчика (далее – Направление) и трехсторонними договорами между Заказчиком, Поставщиком и Получателем (далее - трехсторонний договор) по формам, предусмотренным государственным контрактом. </w:t>
      </w:r>
    </w:p>
    <w:p w:rsidR="00705C01" w:rsidRPr="00705C01" w:rsidRDefault="00705C01" w:rsidP="00912589">
      <w:pPr>
        <w:jc w:val="both"/>
        <w:rPr>
          <w:spacing w:val="-4"/>
        </w:rPr>
      </w:pPr>
    </w:p>
    <w:p w:rsidR="00705C01" w:rsidRPr="00705C01" w:rsidRDefault="00705C01" w:rsidP="00912589">
      <w:pPr>
        <w:jc w:val="both"/>
        <w:rPr>
          <w:lang w:eastAsia="ar-SA"/>
        </w:rPr>
      </w:pPr>
      <w:r w:rsidRPr="00705C01">
        <w:rPr>
          <w:lang w:eastAsia="ar-SA"/>
        </w:rPr>
        <w:lastRenderedPageBreak/>
        <w:t xml:space="preserve">Для приёма Получателей или их представителей на территории Санкт-Петербурга не позднее 1 (одного) дня с момента заключения государственного контракта должен быть организован пункт (пункты) приема Получателей и гарантийного обслуживания (далее – пункт приема), работающий не менее 5 дней в неделю, не менее 40 часов в неделю, при этом, время работы пункта должно попадать в интервал с 08:00 до 22:00. Не позднее 1 (одного) дня с момента заключения государственного контракта </w:t>
      </w:r>
      <w:r w:rsidRPr="00705C01">
        <w:t>Поставщик</w:t>
      </w:r>
      <w:r w:rsidRPr="00705C01">
        <w:rPr>
          <w:lang w:eastAsia="ar-SA"/>
        </w:rPr>
        <w:t xml:space="preserve"> передает Заказчику документы, подтверждающие право </w:t>
      </w:r>
      <w:r w:rsidRPr="00705C01">
        <w:t>Поставщика</w:t>
      </w:r>
      <w:r w:rsidRPr="00705C01">
        <w:rPr>
          <w:lang w:eastAsia="ar-SA"/>
        </w:rPr>
        <w:t xml:space="preserve"> использовать помещения пункта приема, адрес и график работы пункта приема. Количество пунктов приема Получателей - не менее 1 (одного).</w:t>
      </w:r>
      <w:r w:rsidRPr="00705C01">
        <w:t xml:space="preserve"> Максимальное время ожидания Получателей в очереди не должно превышать 30 минут.</w:t>
      </w:r>
    </w:p>
    <w:p w:rsidR="00705C01" w:rsidRPr="00705C01" w:rsidRDefault="00705C01" w:rsidP="00912589">
      <w:pPr>
        <w:jc w:val="both"/>
        <w:rPr>
          <w:spacing w:val="-4"/>
        </w:rPr>
      </w:pPr>
    </w:p>
    <w:p w:rsidR="00705C01" w:rsidRPr="00705C01" w:rsidRDefault="00705C01" w:rsidP="00912589">
      <w:pPr>
        <w:jc w:val="both"/>
        <w:rPr>
          <w:spacing w:val="-4"/>
        </w:rPr>
      </w:pPr>
      <w:r w:rsidRPr="00705C01">
        <w:rPr>
          <w:spacing w:val="-4"/>
        </w:rPr>
        <w:t>Давать справки Получателям по вопросам, связанным с поставкой Изделий в часы работы пункта (пунктов).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звонки, осуществляемые Поставщиком.</w:t>
      </w:r>
    </w:p>
    <w:p w:rsidR="00705C01" w:rsidRPr="00705C01" w:rsidRDefault="00705C01" w:rsidP="00912589">
      <w:pPr>
        <w:jc w:val="both"/>
        <w:rPr>
          <w:spacing w:val="-4"/>
        </w:rPr>
      </w:pPr>
      <w:r w:rsidRPr="00705C01">
        <w:rPr>
          <w:spacing w:val="-4"/>
        </w:rPr>
        <w:t xml:space="preserve">Поставить Получателям или их представителям Изделия не позднее 10 рабочих дней со дня обращения Получателей в пункт приема с Направлением и документом, удостоверяющим личность. Уведомлять Заказчика о дате обращения Получателей путем передачи Заказчику отрывного талона к Направлению в течение 3 (трех) рабочих дней со дня обращения Получателя. </w:t>
      </w:r>
    </w:p>
    <w:p w:rsidR="00705C01" w:rsidRPr="00705C01" w:rsidRDefault="00705C01" w:rsidP="00912589">
      <w:pPr>
        <w:tabs>
          <w:tab w:val="left" w:pos="9724"/>
        </w:tabs>
        <w:ind w:right="10"/>
        <w:jc w:val="both"/>
        <w:rPr>
          <w:spacing w:val="-4"/>
        </w:rPr>
      </w:pPr>
      <w:r w:rsidRPr="00705C01">
        <w:rPr>
          <w:rFonts w:eastAsia="Arial Unicode MS"/>
        </w:rPr>
        <w:t>Начиная со дня обращения Получателей с направлением подготавливать и заключать трехсторонние договоры. По одному экземпляру трехстороннего договора передается Заказчику, Поставщику и Получателю до момента поставки Изделия. Моментом поставки Изделия является подписание Поставщиком и Получателем акта приема-передачи автомобиля</w:t>
      </w:r>
      <w:r w:rsidRPr="00705C01">
        <w:rPr>
          <w:spacing w:val="-4"/>
        </w:rPr>
        <w:t xml:space="preserve"> по форме, предусмотренной трехсторонним договором.</w:t>
      </w:r>
      <w:r w:rsidRPr="00705C01">
        <w:rPr>
          <w:rFonts w:eastAsia="Arial Unicode MS"/>
        </w:rPr>
        <w:t xml:space="preserve"> Регистрация трехсторонних договоров проводится Поставщиком.</w:t>
      </w:r>
    </w:p>
    <w:p w:rsidR="00705C01" w:rsidRPr="00705C01" w:rsidRDefault="00705C01" w:rsidP="00912589">
      <w:pPr>
        <w:tabs>
          <w:tab w:val="left" w:pos="9724"/>
        </w:tabs>
        <w:ind w:right="10"/>
        <w:jc w:val="both"/>
        <w:rPr>
          <w:spacing w:val="-4"/>
        </w:rPr>
      </w:pPr>
      <w:r w:rsidRPr="00705C01">
        <w:rPr>
          <w:rFonts w:eastAsia="Arial Unicode MS"/>
        </w:rPr>
        <w:t>Осуществлять предпродажную подготовку Изделий.</w:t>
      </w:r>
    </w:p>
    <w:p w:rsidR="00705C01" w:rsidRPr="00705C01" w:rsidRDefault="00705C01" w:rsidP="00912589">
      <w:pPr>
        <w:jc w:val="both"/>
        <w:rPr>
          <w:rFonts w:eastAsia="Arial Unicode MS"/>
        </w:rPr>
      </w:pPr>
      <w:r w:rsidRPr="00705C01">
        <w:t xml:space="preserve">Передавать Получателям в собственность Изделия, все необходимые комплектующие и принадлежности. </w:t>
      </w:r>
    </w:p>
    <w:p w:rsidR="00705C01" w:rsidRPr="00705C01" w:rsidRDefault="00705C01" w:rsidP="00912589">
      <w:pPr>
        <w:widowControl w:val="0"/>
        <w:tabs>
          <w:tab w:val="left" w:pos="560"/>
        </w:tabs>
        <w:jc w:val="both"/>
      </w:pPr>
      <w:r w:rsidRPr="00705C01">
        <w:t xml:space="preserve">Подготавливать и передавать вместе с </w:t>
      </w:r>
      <w:r w:rsidRPr="00705C01">
        <w:rPr>
          <w:rFonts w:eastAsia="Arial Unicode MS"/>
        </w:rPr>
        <w:t>Издели</w:t>
      </w:r>
      <w:r w:rsidRPr="00705C01">
        <w:t>ями предусмотренные нормативными правовыми актами Российской Федерации, заполненные в соответствии с данными выданных Изделий документы, необходимые для регистрации Изделий в органах Государственной инспекции безопасности дорожного движения Министерства внутренних дел Российской Федерации, включая одобрение типа транспортного средства с устройством управления для водителей-инвалидов с патологией нижних конечностей или сертификат на ручное управление.</w:t>
      </w:r>
    </w:p>
    <w:p w:rsidR="00705C01" w:rsidRPr="00705C01" w:rsidRDefault="00705C01" w:rsidP="00912589">
      <w:pPr>
        <w:autoSpaceDE w:val="0"/>
        <w:autoSpaceDN w:val="0"/>
        <w:adjustRightInd w:val="0"/>
        <w:jc w:val="both"/>
        <w:rPr>
          <w:rFonts w:eastAsia="Times New Roman"/>
        </w:rPr>
      </w:pPr>
      <w:r w:rsidRPr="00705C01">
        <w:rPr>
          <w:rFonts w:eastAsia="Times New Roman"/>
        </w:rPr>
        <w:t>В случае отказа Получателям в регистрационных действиях в органах Государственной инспекции безопасности дорожного движения Министерства внутренних дел Российской Федерации, Поставщик в течение 5 (пяти) дней с момента получения данной информации от Заказчика обязан предоставить требуемые в органах Государственной инспекции безопасности дорожного движения Министерства внутренних дел Российской Федерации документы на автомобили, либо привести в соответствие ранее переданные, для проведения регистрационных действий.</w:t>
      </w:r>
    </w:p>
    <w:p w:rsidR="00705C01" w:rsidRPr="00705C01" w:rsidRDefault="00705C01" w:rsidP="00912589">
      <w:pPr>
        <w:widowControl w:val="0"/>
        <w:jc w:val="both"/>
      </w:pPr>
      <w:r w:rsidRPr="00705C01">
        <w:t xml:space="preserve">Передавать Получателям вместе с </w:t>
      </w:r>
      <w:r w:rsidRPr="00705C01">
        <w:rPr>
          <w:rFonts w:eastAsia="Arial Unicode MS"/>
        </w:rPr>
        <w:t>Изделиями</w:t>
      </w:r>
      <w:r w:rsidRPr="00705C01">
        <w:t>:</w:t>
      </w:r>
    </w:p>
    <w:p w:rsidR="00705C01" w:rsidRPr="00705C01" w:rsidRDefault="00705C01" w:rsidP="00912589">
      <w:pPr>
        <w:widowControl w:val="0"/>
        <w:ind w:right="-39"/>
        <w:jc w:val="both"/>
      </w:pPr>
      <w:r w:rsidRPr="00705C01">
        <w:rPr>
          <w:rFonts w:eastAsia="Arial Unicode MS"/>
        </w:rPr>
        <w:t xml:space="preserve">- </w:t>
      </w:r>
      <w:r w:rsidRPr="00705C01">
        <w:t>гарантийный талон на автомобиль;</w:t>
      </w:r>
    </w:p>
    <w:p w:rsidR="00705C01" w:rsidRPr="00705C01" w:rsidRDefault="00705C01" w:rsidP="00912589">
      <w:pPr>
        <w:widowControl w:val="0"/>
        <w:ind w:right="-39"/>
        <w:jc w:val="both"/>
      </w:pPr>
      <w:r w:rsidRPr="00705C01">
        <w:t>- сервисную книжку;</w:t>
      </w:r>
    </w:p>
    <w:p w:rsidR="00705C01" w:rsidRPr="00705C01" w:rsidRDefault="00705C01" w:rsidP="00912589">
      <w:pPr>
        <w:widowControl w:val="0"/>
        <w:ind w:right="-39"/>
        <w:jc w:val="both"/>
      </w:pPr>
      <w:r w:rsidRPr="00705C01">
        <w:t>- руководство по эксплуатации автомобиля;</w:t>
      </w:r>
    </w:p>
    <w:p w:rsidR="00705C01" w:rsidRPr="00705C01" w:rsidRDefault="00705C01" w:rsidP="00912589">
      <w:pPr>
        <w:widowControl w:val="0"/>
        <w:ind w:right="-39"/>
        <w:jc w:val="both"/>
      </w:pPr>
      <w:r w:rsidRPr="00705C01">
        <w:t>- руководство по эксплуатации устройств управления автомобилями;</w:t>
      </w:r>
    </w:p>
    <w:p w:rsidR="00705C01" w:rsidRPr="00705C01" w:rsidRDefault="00705C01" w:rsidP="00912589">
      <w:pPr>
        <w:widowControl w:val="0"/>
        <w:ind w:right="-39"/>
        <w:jc w:val="both"/>
      </w:pPr>
      <w:r w:rsidRPr="00705C01">
        <w:t>- комплекты ключей.</w:t>
      </w:r>
    </w:p>
    <w:p w:rsidR="00705C01" w:rsidRPr="00705C01" w:rsidRDefault="00705C01" w:rsidP="00912589">
      <w:pPr>
        <w:widowControl w:val="0"/>
        <w:jc w:val="both"/>
        <w:rPr>
          <w:rFonts w:eastAsia="Arial Unicode MS"/>
        </w:rPr>
      </w:pPr>
      <w:r w:rsidRPr="00705C01">
        <w:rPr>
          <w:rFonts w:eastAsia="Arial Unicode MS"/>
        </w:rPr>
        <w:t xml:space="preserve">Обеспечить возможность обращения Получателей по вопросам технического обслуживания и выполнения гарантийного ремонта Изделий в пункт (пункты) приема, расположенный на территории Санкт-Петербурга. </w:t>
      </w:r>
    </w:p>
    <w:p w:rsidR="00705C01" w:rsidRPr="00705C01" w:rsidRDefault="00705C01" w:rsidP="00912589">
      <w:pPr>
        <w:jc w:val="both"/>
      </w:pPr>
      <w:r w:rsidRPr="00705C01">
        <w:lastRenderedPageBreak/>
        <w:t>Приемка Изделий осуществляется Заказчиком путем проведения проверки соответствия количества, проверки (в том числе выборочной) соответствия комплектности и качества Изделий требованиям, установленным в Контракте, а также путем анализа содержания документов, предоставляемых Поставщиком и проверки соответствия их оформления требованиям законодательства Российской Федерации и условиям Контракта.</w:t>
      </w:r>
    </w:p>
    <w:p w:rsidR="00705C01" w:rsidRPr="00705C01" w:rsidRDefault="00705C01" w:rsidP="00912589">
      <w:pPr>
        <w:jc w:val="both"/>
      </w:pPr>
      <w:r w:rsidRPr="00705C01">
        <w:t>Для проверки предоставленных Поставщиком Изделий, предусмотренных Контрактом, в части их соответствия условиям Контракта, Заказчик проводит экспертизу. Экспертиза Изделий осуществляется в соответствии с требованиями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05C01" w:rsidRPr="00705C01" w:rsidRDefault="00705C01" w:rsidP="00912589">
      <w:pPr>
        <w:jc w:val="both"/>
      </w:pPr>
      <w:r w:rsidRPr="00705C01">
        <w:t>Для проверки предоставленных Поставщиком результатов, предусмотренных Контрактом, в части их соответствия условиям Контракта, Заказчик проводит экспертизу. Экспертиза результатов осуществляется в соответствии с требованиями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05C01" w:rsidRPr="00705C01" w:rsidRDefault="00705C01" w:rsidP="0091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705C01">
        <w:rPr>
          <w:rFonts w:eastAsia="Times New Roman"/>
        </w:rPr>
        <w:t xml:space="preserve">В случае проведения экспертизы своими силами приемка Изделий осуществляется Заказчиком в срок не более 5 (пяти) рабочих дней со дня предоставления </w:t>
      </w:r>
      <w:r w:rsidRPr="00705C01">
        <w:t>Поставщиком</w:t>
      </w:r>
      <w:r w:rsidRPr="00705C01">
        <w:rPr>
          <w:rFonts w:eastAsia="Times New Roman"/>
        </w:rPr>
        <w:t xml:space="preserve"> документов, предусмотренных контрактом. В случае проведения экспертизы с привлечением экспертов (экспертных организаций) приемка Изделий осуществляется Заказчиком в срок не более 5 (пяти) рабочих дней со дня предоставления экспертом (экспертной организацией) соответствующего заключения и предоставления </w:t>
      </w:r>
      <w:r w:rsidRPr="00705C01">
        <w:t>Поставщиком</w:t>
      </w:r>
      <w:r w:rsidRPr="00705C01">
        <w:rPr>
          <w:rFonts w:eastAsia="Times New Roman"/>
        </w:rPr>
        <w:t xml:space="preserve"> документов, предусмотренных контрактом. </w:t>
      </w:r>
    </w:p>
    <w:p w:rsidR="00705C01" w:rsidRPr="00705C01" w:rsidRDefault="00705C01" w:rsidP="0091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705C01">
        <w:rPr>
          <w:rFonts w:eastAsia="Times New Roman"/>
          <w:spacing w:val="5"/>
        </w:rPr>
        <w:t xml:space="preserve">По результатам проведения приемки </w:t>
      </w:r>
      <w:r w:rsidRPr="00705C01">
        <w:rPr>
          <w:rFonts w:eastAsia="Times New Roman"/>
        </w:rPr>
        <w:t>Заказчик</w:t>
      </w:r>
      <w:r w:rsidRPr="00705C01">
        <w:rPr>
          <w:rFonts w:eastAsia="Times New Roman"/>
          <w:spacing w:val="5"/>
        </w:rPr>
        <w:t xml:space="preserve"> в течение 1 (одного) </w:t>
      </w:r>
      <w:r w:rsidRPr="00705C01">
        <w:rPr>
          <w:rFonts w:eastAsia="Times New Roman"/>
        </w:rPr>
        <w:t>рабочего дня</w:t>
      </w:r>
      <w:r w:rsidRPr="00705C01">
        <w:rPr>
          <w:rFonts w:eastAsia="Times New Roman"/>
          <w:spacing w:val="5"/>
        </w:rPr>
        <w:t xml:space="preserve"> </w:t>
      </w:r>
      <w:r w:rsidRPr="00705C01">
        <w:rPr>
          <w:rFonts w:eastAsia="Times New Roman"/>
        </w:rPr>
        <w:t xml:space="preserve">оформляет результаты приемки путем подписания акта о </w:t>
      </w:r>
      <w:r w:rsidRPr="00705C01">
        <w:rPr>
          <w:rFonts w:eastAsia="Times New Roman"/>
          <w:bCs/>
        </w:rPr>
        <w:t xml:space="preserve">приемке </w:t>
      </w:r>
      <w:r w:rsidRPr="00705C01">
        <w:rPr>
          <w:rFonts w:eastAsia="Times New Roman"/>
        </w:rPr>
        <w:t xml:space="preserve">результатов исполнения государственного контракта либо направляет </w:t>
      </w:r>
      <w:r w:rsidRPr="00705C01">
        <w:t>Поставщику</w:t>
      </w:r>
      <w:r w:rsidRPr="00705C01">
        <w:rPr>
          <w:rFonts w:eastAsia="Times New Roman"/>
        </w:rPr>
        <w:t xml:space="preserve"> мотивированный отказ от их подписания с указанием срока устранения нарушений. Изделия считаются принятыми после подписания Сторонами акта о приемке.</w:t>
      </w:r>
    </w:p>
    <w:p w:rsidR="00705C01" w:rsidRDefault="00705C01" w:rsidP="00912589">
      <w:pPr>
        <w:widowControl w:val="0"/>
        <w:jc w:val="both"/>
        <w:rPr>
          <w:b/>
        </w:rPr>
      </w:pPr>
    </w:p>
    <w:sectPr w:rsidR="00705C01" w:rsidSect="00D7140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05" w:rsidRDefault="00857805" w:rsidP="00D71400">
      <w:r>
        <w:separator/>
      </w:r>
    </w:p>
  </w:endnote>
  <w:endnote w:type="continuationSeparator" w:id="0">
    <w:p w:rsidR="00857805" w:rsidRDefault="00857805" w:rsidP="00D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05" w:rsidRDefault="00857805" w:rsidP="00D71400">
      <w:r>
        <w:separator/>
      </w:r>
    </w:p>
  </w:footnote>
  <w:footnote w:type="continuationSeparator" w:id="0">
    <w:p w:rsidR="00857805" w:rsidRDefault="00857805" w:rsidP="00D71400">
      <w:r>
        <w:continuationSeparator/>
      </w:r>
    </w:p>
  </w:footnote>
  <w:footnote w:id="1">
    <w:p w:rsidR="00705C01" w:rsidRDefault="00705C01" w:rsidP="00705C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705C01" w:rsidRDefault="00705C01" w:rsidP="00705C01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8"/>
    <w:rsid w:val="000039EF"/>
    <w:rsid w:val="00114A9C"/>
    <w:rsid w:val="004A14B8"/>
    <w:rsid w:val="00591211"/>
    <w:rsid w:val="005B51A8"/>
    <w:rsid w:val="005E4AC6"/>
    <w:rsid w:val="00646FE8"/>
    <w:rsid w:val="006C5A99"/>
    <w:rsid w:val="00705C01"/>
    <w:rsid w:val="00762974"/>
    <w:rsid w:val="00762CF7"/>
    <w:rsid w:val="007D18A6"/>
    <w:rsid w:val="00857805"/>
    <w:rsid w:val="00912589"/>
    <w:rsid w:val="00BE3827"/>
    <w:rsid w:val="00C20542"/>
    <w:rsid w:val="00CD3827"/>
    <w:rsid w:val="00D0491A"/>
    <w:rsid w:val="00D71400"/>
    <w:rsid w:val="00EE3683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71400"/>
    <w:rPr>
      <w:vertAlign w:val="superscript"/>
    </w:rPr>
  </w:style>
  <w:style w:type="paragraph" w:styleId="a4">
    <w:name w:val="footnote text"/>
    <w:basedOn w:val="a"/>
    <w:link w:val="a5"/>
    <w:unhideWhenUsed/>
    <w:rsid w:val="00705C0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05C0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71400"/>
    <w:rPr>
      <w:vertAlign w:val="superscript"/>
    </w:rPr>
  </w:style>
  <w:style w:type="paragraph" w:styleId="a4">
    <w:name w:val="footnote text"/>
    <w:basedOn w:val="a"/>
    <w:link w:val="a5"/>
    <w:unhideWhenUsed/>
    <w:rsid w:val="00705C0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05C0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5</cp:revision>
  <dcterms:created xsi:type="dcterms:W3CDTF">2018-09-14T15:52:00Z</dcterms:created>
  <dcterms:modified xsi:type="dcterms:W3CDTF">2019-05-27T09:00:00Z</dcterms:modified>
</cp:coreProperties>
</file>