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20" w:rsidRPr="00D91220" w:rsidRDefault="00D91220" w:rsidP="00D91220">
      <w:pPr>
        <w:suppressAutoHyphens w:val="0"/>
        <w:jc w:val="right"/>
      </w:pPr>
      <w:r w:rsidRPr="00D91220">
        <w:t>Приложение №1</w:t>
      </w:r>
    </w:p>
    <w:p w:rsidR="00D91220" w:rsidRDefault="00D91220" w:rsidP="00D91220">
      <w:pPr>
        <w:suppressAutoHyphens w:val="0"/>
        <w:jc w:val="right"/>
      </w:pPr>
      <w:r w:rsidRPr="00D91220">
        <w:t>к Государственному контракту</w:t>
      </w:r>
    </w:p>
    <w:p w:rsidR="00D91220" w:rsidRPr="00D91220" w:rsidRDefault="00D91220" w:rsidP="00D91220">
      <w:pPr>
        <w:tabs>
          <w:tab w:val="left" w:pos="6675"/>
        </w:tabs>
        <w:suppressAutoHyphens w:val="0"/>
      </w:pPr>
      <w:r>
        <w:t xml:space="preserve">                                                                                                           от «___»________________2019г.</w:t>
      </w:r>
    </w:p>
    <w:p w:rsidR="007D1FE6" w:rsidRDefault="007D1FE6" w:rsidP="007D1FE6">
      <w:pPr>
        <w:suppressAutoHyphens w:val="0"/>
        <w:jc w:val="center"/>
        <w:rPr>
          <w:b/>
        </w:rPr>
      </w:pPr>
      <w:r w:rsidRPr="009519D2">
        <w:rPr>
          <w:b/>
        </w:rPr>
        <w:t>Описание объекта закупки.</w:t>
      </w:r>
    </w:p>
    <w:p w:rsidR="00D91220" w:rsidRDefault="00D86FA3" w:rsidP="007D1FE6">
      <w:pPr>
        <w:jc w:val="center"/>
        <w:rPr>
          <w:b/>
        </w:rPr>
      </w:pPr>
      <w:r w:rsidRPr="00D86FA3">
        <w:rPr>
          <w:b/>
        </w:rPr>
        <w:t>Инструменты и медицинское оборудование.</w:t>
      </w:r>
      <w:r w:rsidR="00B37805">
        <w:rPr>
          <w:b/>
        </w:rPr>
        <w:t xml:space="preserve"> </w:t>
      </w:r>
      <w:r w:rsidR="00856CCB">
        <w:rPr>
          <w:b/>
        </w:rPr>
        <w:t>В</w:t>
      </w:r>
      <w:r w:rsidR="00856CCB" w:rsidRPr="00321CFA">
        <w:rPr>
          <w:b/>
        </w:rPr>
        <w:t xml:space="preserve">ыполнение работ по обеспечению </w:t>
      </w:r>
      <w:r w:rsidR="002B68EE">
        <w:rPr>
          <w:b/>
        </w:rPr>
        <w:t>з</w:t>
      </w:r>
      <w:r w:rsidR="002B68EE" w:rsidRPr="002B68EE">
        <w:rPr>
          <w:b/>
        </w:rPr>
        <w:t>астрахованн</w:t>
      </w:r>
      <w:r w:rsidR="007A348D">
        <w:rPr>
          <w:b/>
        </w:rPr>
        <w:t>ых</w:t>
      </w:r>
      <w:r w:rsidR="002B68EE" w:rsidRPr="002B68EE">
        <w:rPr>
          <w:b/>
        </w:rPr>
        <w:t xml:space="preserve"> лиц, пос</w:t>
      </w:r>
      <w:r w:rsidR="007A348D">
        <w:rPr>
          <w:b/>
        </w:rPr>
        <w:t>традавших</w:t>
      </w:r>
      <w:r w:rsidR="002E6710">
        <w:rPr>
          <w:b/>
        </w:rPr>
        <w:t xml:space="preserve"> в результате несчастных</w:t>
      </w:r>
      <w:r w:rsidR="002B68EE" w:rsidRPr="002B68EE">
        <w:rPr>
          <w:b/>
        </w:rPr>
        <w:t xml:space="preserve"> случа</w:t>
      </w:r>
      <w:r w:rsidR="002E6710">
        <w:rPr>
          <w:b/>
        </w:rPr>
        <w:t>ев</w:t>
      </w:r>
      <w:r w:rsidR="002B68EE" w:rsidRPr="002B68EE">
        <w:rPr>
          <w:b/>
        </w:rPr>
        <w:t xml:space="preserve"> на производстве</w:t>
      </w:r>
      <w:r w:rsidR="007A348D">
        <w:rPr>
          <w:b/>
        </w:rPr>
        <w:t xml:space="preserve"> в 2019 году </w:t>
      </w:r>
      <w:r w:rsidR="002B68EE" w:rsidRPr="002B68EE">
        <w:rPr>
          <w:b/>
        </w:rPr>
        <w:t>протез</w:t>
      </w:r>
      <w:r w:rsidR="007A348D">
        <w:rPr>
          <w:b/>
        </w:rPr>
        <w:t>ами</w:t>
      </w:r>
      <w:r w:rsidR="002B68EE" w:rsidRPr="002B68EE">
        <w:rPr>
          <w:b/>
        </w:rPr>
        <w:t xml:space="preserve"> </w:t>
      </w:r>
      <w:r w:rsidR="007A348D">
        <w:rPr>
          <w:b/>
        </w:rPr>
        <w:t>нижних конечностей</w:t>
      </w:r>
    </w:p>
    <w:p w:rsidR="007A348D" w:rsidRPr="00D91220" w:rsidRDefault="007A348D" w:rsidP="007D1FE6">
      <w:pPr>
        <w:jc w:val="center"/>
        <w:rPr>
          <w:b/>
          <w:sz w:val="18"/>
          <w:szCs w:val="18"/>
        </w:rPr>
      </w:pPr>
    </w:p>
    <w:p w:rsidR="007A348D" w:rsidRDefault="007A348D" w:rsidP="007A348D">
      <w:pPr>
        <w:suppressAutoHyphens w:val="0"/>
        <w:ind w:firstLine="851"/>
        <w:jc w:val="center"/>
        <w:rPr>
          <w:b/>
          <w:szCs w:val="20"/>
          <w:lang w:eastAsia="ru-RU"/>
        </w:rPr>
      </w:pPr>
      <w:r w:rsidRPr="007A348D">
        <w:rPr>
          <w:b/>
          <w:szCs w:val="20"/>
          <w:lang w:eastAsia="ru-RU"/>
        </w:rPr>
        <w:t>Требования к качеству, техническим, функциональным характерис</w:t>
      </w:r>
      <w:r>
        <w:rPr>
          <w:b/>
          <w:szCs w:val="20"/>
          <w:lang w:eastAsia="ru-RU"/>
        </w:rPr>
        <w:t>тикам протеза нижней конечности</w:t>
      </w:r>
    </w:p>
    <w:p w:rsidR="007A348D" w:rsidRDefault="007A348D" w:rsidP="007A348D">
      <w:pPr>
        <w:suppressAutoHyphens w:val="0"/>
        <w:ind w:firstLine="851"/>
        <w:jc w:val="center"/>
        <w:rPr>
          <w:b/>
          <w:szCs w:val="20"/>
          <w:lang w:eastAsia="ru-RU"/>
        </w:rPr>
      </w:pPr>
    </w:p>
    <w:p w:rsidR="007A348D" w:rsidRPr="007A348D" w:rsidRDefault="007A348D" w:rsidP="007A348D">
      <w:pPr>
        <w:suppressAutoHyphens w:val="0"/>
        <w:jc w:val="center"/>
        <w:rPr>
          <w:b/>
          <w:lang w:eastAsia="ru-RU"/>
        </w:rPr>
      </w:pPr>
      <w:r w:rsidRPr="007A348D">
        <w:rPr>
          <w:b/>
          <w:lang w:eastAsia="ru-RU"/>
        </w:rPr>
        <w:t>Требования к качеству работ</w:t>
      </w:r>
    </w:p>
    <w:p w:rsidR="007A348D" w:rsidRDefault="007D1FE6" w:rsidP="007A348D">
      <w:pPr>
        <w:jc w:val="both"/>
      </w:pPr>
      <w:r w:rsidRPr="00206C2F">
        <w:t xml:space="preserve">         </w:t>
      </w:r>
      <w:r w:rsidR="007A348D" w:rsidRPr="007A348D">
        <w:t xml:space="preserve">Протез  нижней конечности </w:t>
      </w:r>
      <w:r w:rsidRPr="00206C2F">
        <w:t>долж</w:t>
      </w:r>
      <w:r w:rsidR="00FE4888">
        <w:t>е</w:t>
      </w:r>
      <w:r w:rsidRPr="00206C2F">
        <w:t xml:space="preserve">н </w:t>
      </w:r>
      <w:r w:rsidR="007A348D">
        <w:t xml:space="preserve">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007A348D">
        <w:t>цитотоксичность</w:t>
      </w:r>
      <w:proofErr w:type="spellEnd"/>
      <w:r w:rsidR="007A348D">
        <w:t xml:space="preserve">: методы </w:t>
      </w:r>
      <w:proofErr w:type="spellStart"/>
      <w:r w:rsidR="007A348D">
        <w:t>in</w:t>
      </w:r>
      <w:proofErr w:type="spellEnd"/>
      <w:r w:rsidR="007A348D">
        <w:t xml:space="preserve"> </w:t>
      </w:r>
      <w:proofErr w:type="spellStart"/>
      <w:r w:rsidR="007A348D">
        <w:t>vitro</w:t>
      </w:r>
      <w:proofErr w:type="spellEnd"/>
      <w:r w:rsidR="007A348D">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007A348D">
        <w:t>Р</w:t>
      </w:r>
      <w:proofErr w:type="gramEnd"/>
      <w:r w:rsidR="007A348D">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007A348D">
        <w:t>Р</w:t>
      </w:r>
      <w:proofErr w:type="gramEnd"/>
      <w:r w:rsidR="007A348D">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007A348D">
        <w:t>Р</w:t>
      </w:r>
      <w:proofErr w:type="gramEnd"/>
      <w:r w:rsidR="007A348D">
        <w:t xml:space="preserve"> ИСО 22523-2007 «Протезы конечностей и </w:t>
      </w:r>
      <w:proofErr w:type="spellStart"/>
      <w:r w:rsidR="007A348D">
        <w:t>ортезы</w:t>
      </w:r>
      <w:proofErr w:type="spellEnd"/>
      <w:r w:rsidR="007A348D">
        <w:t xml:space="preserve"> наружные. Требования и методы испытаний».</w:t>
      </w:r>
    </w:p>
    <w:p w:rsidR="00D91220" w:rsidRPr="00D91220" w:rsidRDefault="007A348D" w:rsidP="007A348D">
      <w:pPr>
        <w:jc w:val="both"/>
        <w:rPr>
          <w:sz w:val="18"/>
          <w:szCs w:val="18"/>
        </w:rPr>
      </w:pPr>
      <w:r>
        <w:t>Протезы должны соответствовать требованиям Федерального закона от 21.11.2011 года  № 323-ФЗ «Об основах охраны здоровья граждан в Российской Федерации»</w:t>
      </w:r>
      <w:r w:rsidR="007D1FE6" w:rsidRPr="00206C2F">
        <w:t>.</w:t>
      </w:r>
    </w:p>
    <w:p w:rsidR="007D1FE6" w:rsidRPr="004D5EA5" w:rsidRDefault="007D1FE6" w:rsidP="007D1FE6">
      <w:pPr>
        <w:jc w:val="center"/>
        <w:rPr>
          <w:b/>
        </w:rPr>
      </w:pPr>
      <w:r w:rsidRPr="004D5EA5">
        <w:rPr>
          <w:b/>
        </w:rPr>
        <w:t>Требования к техническим и функциональным характеристикам работ</w:t>
      </w:r>
    </w:p>
    <w:p w:rsidR="00FD3C84" w:rsidRDefault="007D1FE6" w:rsidP="00FD3C84">
      <w:pPr>
        <w:suppressAutoHyphens w:val="0"/>
        <w:ind w:firstLine="708"/>
        <w:jc w:val="both"/>
      </w:pPr>
      <w:r w:rsidRPr="00206C2F">
        <w:t xml:space="preserve">Выполняемые работы по обеспечению </w:t>
      </w:r>
      <w:r w:rsidR="002B68EE" w:rsidRPr="00206C2F">
        <w:t>застрахованн</w:t>
      </w:r>
      <w:r w:rsidR="00FE4888">
        <w:t>ого</w:t>
      </w:r>
      <w:r w:rsidR="002B68EE" w:rsidRPr="00206C2F">
        <w:t xml:space="preserve"> лиц</w:t>
      </w:r>
      <w:r w:rsidR="00FE4888">
        <w:t>а, пострадавшего в результате несчастного</w:t>
      </w:r>
      <w:r w:rsidR="002B68EE" w:rsidRPr="00206C2F">
        <w:t xml:space="preserve"> случа</w:t>
      </w:r>
      <w:r w:rsidR="00FE4888">
        <w:t>я</w:t>
      </w:r>
      <w:r w:rsidR="002B68EE" w:rsidRPr="00206C2F">
        <w:t xml:space="preserve"> на производстве </w:t>
      </w:r>
      <w:r w:rsidRPr="00206C2F">
        <w:t>протез</w:t>
      </w:r>
      <w:r w:rsidR="00B37805" w:rsidRPr="00206C2F">
        <w:t>о</w:t>
      </w:r>
      <w:r w:rsidRPr="00206C2F">
        <w:t>м</w:t>
      </w:r>
      <w:r w:rsidR="002B68EE" w:rsidRPr="00206C2F">
        <w:t xml:space="preserve"> </w:t>
      </w:r>
      <w:r w:rsidR="007A348D" w:rsidRPr="007A348D">
        <w:t xml:space="preserve">нижней  конечности </w:t>
      </w:r>
      <w:r w:rsidR="007E04E6">
        <w:t>долж</w:t>
      </w:r>
      <w:r w:rsidR="00B37805" w:rsidRPr="00206C2F">
        <w:t>н</w:t>
      </w:r>
      <w:r w:rsidR="007E04E6">
        <w:t>ы</w:t>
      </w:r>
      <w:r w:rsidRPr="00206C2F">
        <w:t xml:space="preserve">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w:t>
      </w:r>
      <w:r w:rsidR="00FD3C84">
        <w:t xml:space="preserve">с помощью протезов конечностей. </w:t>
      </w:r>
      <w:r w:rsidR="007E04E6">
        <w:t>П</w:t>
      </w:r>
      <w:r w:rsidR="007E04E6" w:rsidRPr="003A6712">
        <w:t>ротез</w:t>
      </w:r>
      <w:r w:rsidR="007E04E6">
        <w:t xml:space="preserve"> нижней</w:t>
      </w:r>
      <w:r w:rsidR="007E04E6" w:rsidRPr="003A6712">
        <w:t xml:space="preserve">  конечност</w:t>
      </w:r>
      <w:r w:rsidR="007E04E6">
        <w:t>и</w:t>
      </w:r>
      <w:r w:rsidR="00F75CF6" w:rsidRPr="00206C2F">
        <w:t xml:space="preserve"> </w:t>
      </w:r>
      <w:r w:rsidR="00FD3C84">
        <w:t xml:space="preserve">должен иметь приемную индивидуальную гильзу (одна пробная). Индивидуальная постоянная гильзы должна быть карбоновая </w:t>
      </w:r>
      <w:proofErr w:type="spellStart"/>
      <w:r w:rsidR="00FD3C84">
        <w:t>скелетированная</w:t>
      </w:r>
      <w:proofErr w:type="spellEnd"/>
      <w:r w:rsidR="00FD3C84">
        <w:t xml:space="preserve">. Вкладная гильза должна быть из </w:t>
      </w:r>
      <w:proofErr w:type="gramStart"/>
      <w:r w:rsidR="00FD3C84">
        <w:t>мягкого</w:t>
      </w:r>
      <w:proofErr w:type="gramEnd"/>
      <w:r w:rsidR="00FD3C84">
        <w:t xml:space="preserve"> </w:t>
      </w:r>
      <w:proofErr w:type="spellStart"/>
      <w:r w:rsidR="00FD3C84">
        <w:t>термолина</w:t>
      </w:r>
      <w:proofErr w:type="spellEnd"/>
      <w:r w:rsidR="00FD3C84">
        <w:t xml:space="preserve">. Коленный шарнир должен быть без замка с полностью управляемой микропроцессором фазой опоры и фазой переноса. Формообразующая облицовка должна быть модульной мягкой полиуретановой. Косметическое покрытие облицовки должно быть как чулки ортопедические </w:t>
      </w:r>
      <w:proofErr w:type="spellStart"/>
      <w:r w:rsidR="00FD3C84">
        <w:t>перлоновые</w:t>
      </w:r>
      <w:proofErr w:type="spellEnd"/>
      <w:r w:rsidR="00FD3C84">
        <w:t xml:space="preserve">. Крепление должно быть </w:t>
      </w:r>
      <w:proofErr w:type="gramStart"/>
      <w:r w:rsidR="00FD3C84">
        <w:t>вакуумное-мембранное</w:t>
      </w:r>
      <w:proofErr w:type="gramEnd"/>
      <w:r w:rsidR="00FD3C84">
        <w:t xml:space="preserve"> с использованием клапана (2 чехла). Должно </w:t>
      </w:r>
      <w:proofErr w:type="gramStart"/>
      <w:r w:rsidR="00FD3C84">
        <w:t>быть</w:t>
      </w:r>
      <w:proofErr w:type="gramEnd"/>
      <w:r w:rsidR="00FD3C84">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w:t>
      </w:r>
    </w:p>
    <w:p w:rsidR="00AE7527" w:rsidRDefault="00FD3C84" w:rsidP="00FD3C84">
      <w:pPr>
        <w:suppressAutoHyphens w:val="0"/>
        <w:ind w:firstLine="708"/>
        <w:jc w:val="both"/>
        <w:rPr>
          <w:rFonts w:eastAsia="Calibri"/>
          <w:lang w:eastAsia="ru-RU"/>
        </w:rPr>
      </w:pPr>
      <w:r>
        <w:t>Стопа должна быть карбоновая с торсионным устройством и высокими амортизационными свойствами, обеспечивающая широкий спектр применения, как в обычных бытовых условиях, так и при занятиях непрофессиональным спортом. Регулировочно-соединительные устройства должны соответствовать весу пациента. Тип протеза по назначению: постоянный, с высоким уровнем двигательной активности.</w:t>
      </w:r>
    </w:p>
    <w:p w:rsidR="00FD3C84" w:rsidRDefault="00FD3C84" w:rsidP="00FD3C84">
      <w:pPr>
        <w:suppressAutoHyphens w:val="0"/>
        <w:ind w:firstLine="708"/>
        <w:jc w:val="both"/>
        <w:rPr>
          <w:rFonts w:eastAsia="Calibri"/>
          <w:lang w:eastAsia="ru-RU"/>
        </w:rPr>
      </w:pPr>
    </w:p>
    <w:p w:rsidR="00FD3C84" w:rsidRDefault="00FD3C84" w:rsidP="00FD3C84">
      <w:pPr>
        <w:suppressAutoHyphens w:val="0"/>
        <w:ind w:firstLine="708"/>
        <w:jc w:val="both"/>
        <w:rPr>
          <w:rFonts w:eastAsia="Calibri"/>
          <w:lang w:eastAsia="ru-RU"/>
        </w:rPr>
      </w:pPr>
    </w:p>
    <w:p w:rsidR="00FD3C84" w:rsidRDefault="00FD3C84" w:rsidP="00FD3C84">
      <w:pPr>
        <w:suppressAutoHyphens w:val="0"/>
        <w:ind w:firstLine="708"/>
        <w:jc w:val="both"/>
        <w:rPr>
          <w:rFonts w:eastAsia="Calibri"/>
          <w:lang w:eastAsia="ru-RU"/>
        </w:rPr>
      </w:pPr>
    </w:p>
    <w:p w:rsidR="00CF277C" w:rsidRPr="00CF277C" w:rsidRDefault="00CF277C" w:rsidP="00CF277C">
      <w:pPr>
        <w:suppressAutoHyphens w:val="0"/>
        <w:ind w:firstLine="851"/>
        <w:jc w:val="center"/>
        <w:rPr>
          <w:b/>
          <w:lang w:eastAsia="ru-RU"/>
        </w:rPr>
      </w:pPr>
      <w:r w:rsidRPr="00CF277C">
        <w:rPr>
          <w:b/>
          <w:lang w:eastAsia="ru-RU"/>
        </w:rPr>
        <w:lastRenderedPageBreak/>
        <w:t>Требования к безопасности работ</w:t>
      </w:r>
    </w:p>
    <w:p w:rsidR="00CF277C" w:rsidRPr="007E04E6" w:rsidRDefault="00CF277C" w:rsidP="007E04E6">
      <w:pPr>
        <w:suppressAutoHyphens w:val="0"/>
        <w:ind w:firstLine="851"/>
        <w:jc w:val="both"/>
        <w:rPr>
          <w:lang w:eastAsia="ru-RU"/>
        </w:rPr>
      </w:pPr>
      <w:r w:rsidRPr="00CF277C">
        <w:rPr>
          <w:lang w:eastAsia="ru-RU"/>
        </w:rPr>
        <w:t xml:space="preserve">Проведение работ по обеспечению </w:t>
      </w:r>
      <w:r w:rsidR="007A348D" w:rsidRPr="007A348D">
        <w:rPr>
          <w:lang w:eastAsia="ru-RU"/>
        </w:rPr>
        <w:t>застрахованного лица, пострадавшего в результате несчастного случая на производстве</w:t>
      </w:r>
      <w:r w:rsidR="007A348D">
        <w:rPr>
          <w:lang w:eastAsia="ru-RU"/>
        </w:rPr>
        <w:t xml:space="preserve"> </w:t>
      </w:r>
      <w:r w:rsidRPr="00CF277C">
        <w:rPr>
          <w:lang w:eastAsia="ru-RU"/>
        </w:rPr>
        <w:t xml:space="preserve"> протезом нижней конечности должно осуществляться в соответствии с требованиями, установленными законодательством Российской Федерации.</w:t>
      </w:r>
    </w:p>
    <w:p w:rsidR="00D91220" w:rsidRPr="004D5EA5" w:rsidRDefault="007D1FE6" w:rsidP="007E04E6">
      <w:pPr>
        <w:jc w:val="center"/>
        <w:rPr>
          <w:b/>
          <w:sz w:val="18"/>
          <w:szCs w:val="18"/>
        </w:rPr>
      </w:pPr>
      <w:r w:rsidRPr="004D5EA5">
        <w:rPr>
          <w:b/>
        </w:rPr>
        <w:t>Требования к результатам работ</w:t>
      </w:r>
    </w:p>
    <w:p w:rsidR="007D1FE6" w:rsidRDefault="007D1FE6" w:rsidP="007D1FE6">
      <w:pPr>
        <w:ind w:firstLine="708"/>
        <w:jc w:val="both"/>
        <w:rPr>
          <w:sz w:val="18"/>
          <w:szCs w:val="18"/>
        </w:rPr>
      </w:pPr>
      <w:r w:rsidRPr="00206C2F">
        <w:t xml:space="preserve">Работы по обеспечению </w:t>
      </w:r>
      <w:r w:rsidR="00206C2F" w:rsidRPr="00206C2F">
        <w:t>застрахованного</w:t>
      </w:r>
      <w:r w:rsidR="002B68EE" w:rsidRPr="00206C2F">
        <w:t xml:space="preserve"> лиц</w:t>
      </w:r>
      <w:r w:rsidR="00206C2F" w:rsidRPr="00206C2F">
        <w:t>а</w:t>
      </w:r>
      <w:r w:rsidR="002B68EE" w:rsidRPr="00206C2F">
        <w:t>, пострадавш</w:t>
      </w:r>
      <w:r w:rsidR="00CE5EE4">
        <w:t>его</w:t>
      </w:r>
      <w:r w:rsidR="002B68EE" w:rsidRPr="00206C2F">
        <w:t xml:space="preserve"> в результате несчастн</w:t>
      </w:r>
      <w:r w:rsidR="00206C2F" w:rsidRPr="00206C2F">
        <w:t>ого</w:t>
      </w:r>
      <w:r w:rsidR="002B68EE" w:rsidRPr="00206C2F">
        <w:t xml:space="preserve"> случа</w:t>
      </w:r>
      <w:r w:rsidR="00206C2F" w:rsidRPr="00206C2F">
        <w:t xml:space="preserve">я на производстве </w:t>
      </w:r>
      <w:r w:rsidRPr="00206C2F">
        <w:t>протез</w:t>
      </w:r>
      <w:r w:rsidR="00206C2F" w:rsidRPr="00206C2F">
        <w:t>о</w:t>
      </w:r>
      <w:r w:rsidR="007E04E6">
        <w:t>м нижней</w:t>
      </w:r>
      <w:r w:rsidR="007E04E6" w:rsidRPr="003A6712">
        <w:t xml:space="preserve">  конечност</w:t>
      </w:r>
      <w:r w:rsidR="007E04E6">
        <w:t>и</w:t>
      </w:r>
      <w:r w:rsidR="007E04E6" w:rsidRPr="003A6712">
        <w:t xml:space="preserve"> </w:t>
      </w:r>
      <w:r w:rsidRPr="00206C2F">
        <w:t xml:space="preserve">следует считать эффективно исполненным, если у </w:t>
      </w:r>
      <w:r w:rsidR="002B68EE" w:rsidRPr="00206C2F">
        <w:t>застрахованн</w:t>
      </w:r>
      <w:r w:rsidR="00CE5EE4">
        <w:t>ого</w:t>
      </w:r>
      <w:r w:rsidR="002B68EE" w:rsidRPr="00206C2F">
        <w:t xml:space="preserve"> лиц</w:t>
      </w:r>
      <w:r w:rsidR="00CE5EE4">
        <w:t>а</w:t>
      </w:r>
      <w:r w:rsidR="002B68EE" w:rsidRPr="00206C2F">
        <w:t>, пострадавш</w:t>
      </w:r>
      <w:r w:rsidR="00CE5EE4">
        <w:t>его</w:t>
      </w:r>
      <w:r w:rsidR="002B68EE" w:rsidRPr="00206C2F">
        <w:t xml:space="preserve"> в результате несчастн</w:t>
      </w:r>
      <w:r w:rsidR="00CE5EE4">
        <w:t>ого</w:t>
      </w:r>
      <w:r w:rsidR="002B68EE" w:rsidRPr="00206C2F">
        <w:t xml:space="preserve"> случа</w:t>
      </w:r>
      <w:r w:rsidR="00CE5EE4">
        <w:t>я</w:t>
      </w:r>
      <w:r w:rsidR="002B68EE" w:rsidRPr="00206C2F">
        <w:t xml:space="preserve"> на производстве </w:t>
      </w:r>
      <w:r w:rsidRPr="00206C2F">
        <w:t>восстановлена опорная и двигательная функции</w:t>
      </w:r>
      <w:r w:rsidR="00CE5EE4">
        <w:t>,</w:t>
      </w:r>
      <w:r w:rsidRPr="00206C2F">
        <w:t xml:space="preserve"> созданы условия для предупреждения развития деформации или благоприятного течения болезни. Работы по обеспечению </w:t>
      </w:r>
      <w:r w:rsidR="002B68EE" w:rsidRPr="00206C2F">
        <w:t>застрахованн</w:t>
      </w:r>
      <w:r w:rsidR="00CE5EE4">
        <w:t>ого</w:t>
      </w:r>
      <w:r w:rsidR="002B68EE" w:rsidRPr="00206C2F">
        <w:t xml:space="preserve"> лиц</w:t>
      </w:r>
      <w:r w:rsidR="00CE5EE4">
        <w:t>а</w:t>
      </w:r>
      <w:r w:rsidR="002B68EE" w:rsidRPr="00206C2F">
        <w:t>, пострадавш</w:t>
      </w:r>
      <w:r w:rsidR="00CE5EE4">
        <w:t>его в результате несчастного случая</w:t>
      </w:r>
      <w:r w:rsidR="002B68EE" w:rsidRPr="00206C2F">
        <w:t xml:space="preserve"> на производстве  </w:t>
      </w:r>
      <w:r w:rsidRPr="00206C2F">
        <w:t>протез</w:t>
      </w:r>
      <w:r w:rsidR="00CE5EE4">
        <w:t>о</w:t>
      </w:r>
      <w:r w:rsidRPr="00206C2F">
        <w:t>м должны быть выполнены с надлежащим качеством и в установленные сроки.</w:t>
      </w:r>
    </w:p>
    <w:p w:rsidR="007D1FE6" w:rsidRPr="004D5EA5" w:rsidRDefault="007D1FE6" w:rsidP="002E6710">
      <w:pPr>
        <w:jc w:val="center"/>
        <w:rPr>
          <w:b/>
        </w:rPr>
      </w:pPr>
      <w:r w:rsidRPr="004D5EA5">
        <w:rPr>
          <w:b/>
        </w:rPr>
        <w:t>Требования к размерам, упаковке и отгрузке издел</w:t>
      </w:r>
      <w:r w:rsidR="002B68EE" w:rsidRPr="004D5EA5">
        <w:rPr>
          <w:b/>
        </w:rPr>
        <w:t>и</w:t>
      </w:r>
      <w:r w:rsidRPr="004D5EA5">
        <w:rPr>
          <w:b/>
        </w:rPr>
        <w:t>й.</w:t>
      </w:r>
    </w:p>
    <w:p w:rsidR="007D1FE6" w:rsidRDefault="007D1FE6" w:rsidP="007D1FE6">
      <w:pPr>
        <w:ind w:firstLine="708"/>
        <w:jc w:val="both"/>
        <w:rPr>
          <w:sz w:val="18"/>
          <w:szCs w:val="18"/>
        </w:rPr>
      </w:pPr>
      <w:r w:rsidRPr="00206C2F">
        <w:t xml:space="preserve"> Упаковка  </w:t>
      </w:r>
      <w:r w:rsidR="007E04E6" w:rsidRPr="003A6712">
        <w:t>протез</w:t>
      </w:r>
      <w:r w:rsidR="007E04E6">
        <w:t>а нижних</w:t>
      </w:r>
      <w:r w:rsidR="007E04E6" w:rsidRPr="003A6712">
        <w:t xml:space="preserve">  конечност</w:t>
      </w:r>
      <w:r w:rsidR="007E04E6">
        <w:t>ей</w:t>
      </w:r>
      <w:r w:rsidR="007E04E6" w:rsidRPr="003A6712">
        <w:t xml:space="preserve"> </w:t>
      </w:r>
      <w:r w:rsidRPr="00206C2F">
        <w:t xml:space="preserve">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D91220" w:rsidRPr="00D91220" w:rsidRDefault="00D91220" w:rsidP="007D1FE6">
      <w:pPr>
        <w:ind w:firstLine="708"/>
        <w:jc w:val="both"/>
        <w:rPr>
          <w:sz w:val="18"/>
          <w:szCs w:val="18"/>
        </w:rPr>
      </w:pPr>
    </w:p>
    <w:p w:rsidR="007D1FE6" w:rsidRPr="004D5EA5" w:rsidRDefault="007D1FE6" w:rsidP="007D1FE6">
      <w:pPr>
        <w:jc w:val="center"/>
        <w:rPr>
          <w:b/>
        </w:rPr>
      </w:pPr>
      <w:r w:rsidRPr="004D5EA5">
        <w:rPr>
          <w:b/>
        </w:rPr>
        <w:t>Требования к срокам и (или) объему предоставления гарантии качества работ</w:t>
      </w:r>
    </w:p>
    <w:p w:rsidR="00CF277C" w:rsidRPr="00CF277C" w:rsidRDefault="00CF277C" w:rsidP="00CF277C">
      <w:pPr>
        <w:suppressAutoHyphens w:val="0"/>
        <w:ind w:firstLine="851"/>
        <w:jc w:val="both"/>
        <w:rPr>
          <w:lang w:eastAsia="ru-RU"/>
        </w:rPr>
      </w:pPr>
      <w:r w:rsidRPr="00CF277C">
        <w:rPr>
          <w:lang w:eastAsia="ru-RU"/>
        </w:rPr>
        <w:t>Гарантийный срок на протез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D91220" w:rsidRPr="004D5EA5" w:rsidRDefault="00CF277C" w:rsidP="004D5EA5">
      <w:pPr>
        <w:suppressAutoHyphens w:val="0"/>
        <w:ind w:firstLine="708"/>
        <w:jc w:val="both"/>
        <w:rPr>
          <w:lang w:eastAsia="ru-RU"/>
        </w:rPr>
      </w:pPr>
      <w:r w:rsidRPr="00CF277C">
        <w:rPr>
          <w:lang w:eastAsia="ru-RU"/>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7D1FE6" w:rsidRPr="004D5EA5" w:rsidRDefault="007D1FE6" w:rsidP="00D91220">
      <w:pPr>
        <w:ind w:firstLine="708"/>
        <w:jc w:val="center"/>
        <w:rPr>
          <w:b/>
        </w:rPr>
      </w:pPr>
      <w:r w:rsidRPr="004D5EA5">
        <w:rPr>
          <w:b/>
        </w:rPr>
        <w:t>Место, условия и сроки (периоды) выполнения работ</w:t>
      </w:r>
    </w:p>
    <w:p w:rsidR="002E6710" w:rsidRPr="002E6710" w:rsidRDefault="002E6710" w:rsidP="002E6710">
      <w:pPr>
        <w:ind w:firstLine="708"/>
        <w:jc w:val="both"/>
        <w:rPr>
          <w:lang w:eastAsia="ru-RU"/>
        </w:rPr>
      </w:pPr>
      <w:r w:rsidRPr="002E6710">
        <w:rPr>
          <w:lang w:eastAsia="ru-RU"/>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2E6710" w:rsidRPr="002E6710" w:rsidRDefault="002E6710" w:rsidP="002E6710">
      <w:pPr>
        <w:ind w:firstLine="708"/>
        <w:jc w:val="both"/>
        <w:rPr>
          <w:lang w:eastAsia="ru-RU"/>
        </w:rPr>
      </w:pPr>
      <w:r w:rsidRPr="002E6710">
        <w:rPr>
          <w:lang w:eastAsia="ru-RU"/>
        </w:rPr>
        <w:t xml:space="preserve">Место выполнение работ: на территории Российской Федерации, по месту нахождения Исполнителя. </w:t>
      </w:r>
    </w:p>
    <w:p w:rsidR="002E6710" w:rsidRPr="002E6710" w:rsidRDefault="002E6710" w:rsidP="002E6710">
      <w:pPr>
        <w:ind w:firstLine="709"/>
        <w:jc w:val="both"/>
        <w:rPr>
          <w:kern w:val="2"/>
          <w:szCs w:val="22"/>
        </w:rPr>
      </w:pPr>
      <w:r w:rsidRPr="002E6710">
        <w:rPr>
          <w:kern w:val="2"/>
          <w:szCs w:val="22"/>
        </w:rPr>
        <w:t>Изготовление и выдача Получателю готового Изделия осуществляется</w:t>
      </w:r>
      <w:r w:rsidRPr="002E6710">
        <w:rPr>
          <w:lang w:eastAsia="ru-RU"/>
        </w:rPr>
        <w:t xml:space="preserve"> в срок </w:t>
      </w:r>
      <w:r w:rsidRPr="002E6710">
        <w:rPr>
          <w:b/>
          <w:lang w:eastAsia="ru-RU"/>
        </w:rPr>
        <w:t>не более 60 календарных дней</w:t>
      </w:r>
      <w:r w:rsidRPr="002E6710">
        <w:rPr>
          <w:lang w:eastAsia="ru-RU"/>
        </w:rPr>
        <w:t xml:space="preserve"> с момента получения Направлений Получателя, но не позднее </w:t>
      </w:r>
      <w:r w:rsidRPr="002E6710">
        <w:rPr>
          <w:b/>
          <w:lang w:eastAsia="ru-RU"/>
        </w:rPr>
        <w:t>06.12.2019 года.</w:t>
      </w:r>
    </w:p>
    <w:p w:rsidR="007D1FE6" w:rsidRPr="002E6710" w:rsidRDefault="002E6710" w:rsidP="002E6710">
      <w:pPr>
        <w:ind w:firstLine="709"/>
        <w:jc w:val="both"/>
        <w:rPr>
          <w:lang w:eastAsia="ru-RU"/>
        </w:rPr>
      </w:pPr>
      <w:r w:rsidRPr="002E6710">
        <w:rPr>
          <w:lang w:eastAsia="ru-RU"/>
        </w:rPr>
        <w:t>Обмеры, примерка и выд</w:t>
      </w:r>
      <w:r w:rsidR="00C22579">
        <w:rPr>
          <w:lang w:eastAsia="ru-RU"/>
        </w:rPr>
        <w:t xml:space="preserve">ача Получателю готового Изделия </w:t>
      </w:r>
      <w:bookmarkStart w:id="0" w:name="_GoBack"/>
      <w:bookmarkEnd w:id="0"/>
      <w:r w:rsidRPr="002E6710">
        <w:rPr>
          <w:lang w:eastAsia="ru-RU"/>
        </w:rPr>
        <w:t>осуществляется на территории Ростовской области, при необходимости по месту жительства Получателя.</w:t>
      </w:r>
    </w:p>
    <w:p w:rsidR="00D91220" w:rsidRPr="00D91220" w:rsidRDefault="00D91220" w:rsidP="007D1FE6">
      <w:pPr>
        <w:ind w:firstLine="708"/>
        <w:jc w:val="both"/>
        <w:rPr>
          <w:sz w:val="18"/>
          <w:szCs w:val="18"/>
        </w:rPr>
      </w:pPr>
    </w:p>
    <w:tbl>
      <w:tblPr>
        <w:tblW w:w="9513" w:type="dxa"/>
        <w:tblInd w:w="93" w:type="dxa"/>
        <w:tblLayout w:type="fixed"/>
        <w:tblLook w:val="04A0" w:firstRow="1" w:lastRow="0" w:firstColumn="1" w:lastColumn="0" w:noHBand="0" w:noVBand="1"/>
      </w:tblPr>
      <w:tblGrid>
        <w:gridCol w:w="1716"/>
        <w:gridCol w:w="3402"/>
        <w:gridCol w:w="1560"/>
        <w:gridCol w:w="567"/>
        <w:gridCol w:w="1559"/>
        <w:gridCol w:w="709"/>
      </w:tblGrid>
      <w:tr w:rsidR="002F44BD" w:rsidRPr="008942A1" w:rsidTr="00C71811">
        <w:trPr>
          <w:trHeight w:val="10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Наименование изделий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Цена  за единицу (руб.)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Срок гарантии не менее  (месяцев)</w:t>
            </w:r>
          </w:p>
        </w:tc>
      </w:tr>
      <w:tr w:rsidR="00E33D9D" w:rsidRPr="008942A1" w:rsidTr="00C71811">
        <w:trPr>
          <w:trHeight w:val="982"/>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Default="00E33D9D" w:rsidP="00FE4888">
            <w:pPr>
              <w:pStyle w:val="a6"/>
              <w:suppressAutoHyphens w:val="0"/>
              <w:ind w:left="49"/>
              <w:rPr>
                <w:color w:val="000000"/>
                <w:szCs w:val="16"/>
                <w:lang w:eastAsia="ru-RU"/>
              </w:rPr>
            </w:pPr>
            <w:r w:rsidRPr="008334C9">
              <w:rPr>
                <w:color w:val="000000"/>
                <w:szCs w:val="16"/>
                <w:lang w:eastAsia="ru-RU"/>
              </w:rPr>
              <w:t xml:space="preserve">Протез  </w:t>
            </w:r>
            <w:r>
              <w:rPr>
                <w:color w:val="000000"/>
                <w:szCs w:val="16"/>
                <w:lang w:eastAsia="ru-RU"/>
              </w:rPr>
              <w:t xml:space="preserve">бедра </w:t>
            </w:r>
            <w:r w:rsidRPr="008334C9">
              <w:rPr>
                <w:color w:val="000000"/>
                <w:szCs w:val="16"/>
                <w:lang w:eastAsia="ru-RU"/>
              </w:rPr>
              <w:t>модульный</w:t>
            </w:r>
            <w:r w:rsidR="00F75CF6">
              <w:rPr>
                <w:color w:val="000000"/>
                <w:szCs w:val="16"/>
                <w:lang w:eastAsia="ru-RU"/>
              </w:rPr>
              <w:t xml:space="preserve"> с внешним источником энергии</w:t>
            </w:r>
          </w:p>
          <w:p w:rsidR="00AC11FC" w:rsidRDefault="00AC11FC" w:rsidP="00FE4888">
            <w:pPr>
              <w:pStyle w:val="a6"/>
              <w:suppressAutoHyphens w:val="0"/>
              <w:ind w:left="49"/>
              <w:rPr>
                <w:color w:val="000000"/>
                <w:szCs w:val="16"/>
                <w:lang w:eastAsia="ru-RU"/>
              </w:rPr>
            </w:pPr>
          </w:p>
          <w:p w:rsidR="00AC11FC" w:rsidRPr="008334C9" w:rsidRDefault="00AC11FC" w:rsidP="00FE4888">
            <w:pPr>
              <w:pStyle w:val="a6"/>
              <w:suppressAutoHyphens w:val="0"/>
              <w:ind w:left="49"/>
              <w:rPr>
                <w:color w:val="000000"/>
                <w:szCs w:val="16"/>
                <w:lang w:eastAsia="ru-RU"/>
              </w:rPr>
            </w:pPr>
            <w:r>
              <w:rPr>
                <w:color w:val="000000"/>
                <w:szCs w:val="16"/>
                <w:lang w:eastAsia="ru-RU"/>
              </w:rPr>
              <w:t>Страна ____</w:t>
            </w:r>
          </w:p>
          <w:p w:rsidR="00E33D9D" w:rsidRPr="001B36D0" w:rsidRDefault="00E33D9D" w:rsidP="00CF277C">
            <w:pPr>
              <w:suppressAutoHyphens w:val="0"/>
              <w:jc w:val="center"/>
              <w:rPr>
                <w:color w:val="000000"/>
                <w:szCs w:val="16"/>
                <w:lang w:eastAsia="ru-RU"/>
              </w:rPr>
            </w:pPr>
          </w:p>
        </w:tc>
        <w:tc>
          <w:tcPr>
            <w:tcW w:w="3402" w:type="dxa"/>
            <w:tcBorders>
              <w:top w:val="nil"/>
              <w:left w:val="nil"/>
              <w:bottom w:val="single" w:sz="4" w:space="0" w:color="auto"/>
              <w:right w:val="single" w:sz="4" w:space="0" w:color="auto"/>
            </w:tcBorders>
            <w:shd w:val="clear" w:color="auto" w:fill="auto"/>
          </w:tcPr>
          <w:p w:rsidR="00FD3C84" w:rsidRPr="00FD3C84" w:rsidRDefault="00E33D9D" w:rsidP="00FD3C84">
            <w:pPr>
              <w:jc w:val="both"/>
              <w:rPr>
                <w:rFonts w:eastAsia="Calibri"/>
                <w:color w:val="000000"/>
                <w:sz w:val="20"/>
                <w:lang w:eastAsia="ru-RU"/>
              </w:rPr>
            </w:pPr>
            <w:r w:rsidRPr="00402B73">
              <w:rPr>
                <w:b/>
                <w:bCs/>
                <w:color w:val="000000"/>
                <w:sz w:val="20"/>
              </w:rPr>
              <w:t>Протез бедра модульный</w:t>
            </w:r>
            <w:r w:rsidR="00FC2AF9">
              <w:rPr>
                <w:b/>
                <w:bCs/>
                <w:color w:val="000000"/>
                <w:sz w:val="20"/>
              </w:rPr>
              <w:t xml:space="preserve"> с внешним источником энерги</w:t>
            </w:r>
            <w:proofErr w:type="gramStart"/>
            <w:r w:rsidR="00FC2AF9">
              <w:rPr>
                <w:b/>
                <w:bCs/>
                <w:color w:val="000000"/>
                <w:sz w:val="20"/>
              </w:rPr>
              <w:t>и</w:t>
            </w:r>
            <w:r w:rsidRPr="00402B73">
              <w:rPr>
                <w:color w:val="000000"/>
                <w:sz w:val="20"/>
              </w:rPr>
              <w:t>-</w:t>
            </w:r>
            <w:proofErr w:type="gramEnd"/>
            <w:r w:rsidR="00C663B6" w:rsidRPr="00C663B6">
              <w:rPr>
                <w:rFonts w:eastAsia="Calibri"/>
                <w:b/>
                <w:bCs/>
                <w:color w:val="000000"/>
                <w:sz w:val="20"/>
                <w:lang w:eastAsia="ru-RU"/>
              </w:rPr>
              <w:t xml:space="preserve"> </w:t>
            </w:r>
            <w:r w:rsidR="00FD3C84" w:rsidRPr="00FD3C84">
              <w:rPr>
                <w:rFonts w:eastAsia="Calibri"/>
                <w:color w:val="000000"/>
                <w:sz w:val="20"/>
                <w:lang w:eastAsia="ru-RU"/>
              </w:rPr>
              <w:t xml:space="preserve">должен иметь приемную индивидуальную гильзу (одна пробная). Индивидуальная постоянная гильзы должна быть карбоновая </w:t>
            </w:r>
            <w:proofErr w:type="spellStart"/>
            <w:r w:rsidR="00FD3C84" w:rsidRPr="00FD3C84">
              <w:rPr>
                <w:rFonts w:eastAsia="Calibri"/>
                <w:color w:val="000000"/>
                <w:sz w:val="20"/>
                <w:lang w:eastAsia="ru-RU"/>
              </w:rPr>
              <w:t>скелетированная</w:t>
            </w:r>
            <w:proofErr w:type="spellEnd"/>
            <w:r w:rsidR="00FD3C84" w:rsidRPr="00FD3C84">
              <w:rPr>
                <w:rFonts w:eastAsia="Calibri"/>
                <w:color w:val="000000"/>
                <w:sz w:val="20"/>
                <w:lang w:eastAsia="ru-RU"/>
              </w:rPr>
              <w:t xml:space="preserve">. Вкладная гильза должна быть из </w:t>
            </w:r>
            <w:proofErr w:type="gramStart"/>
            <w:r w:rsidR="00FD3C84" w:rsidRPr="00FD3C84">
              <w:rPr>
                <w:rFonts w:eastAsia="Calibri"/>
                <w:color w:val="000000"/>
                <w:sz w:val="20"/>
                <w:lang w:eastAsia="ru-RU"/>
              </w:rPr>
              <w:t>мягкого</w:t>
            </w:r>
            <w:proofErr w:type="gramEnd"/>
            <w:r w:rsidR="00FD3C84" w:rsidRPr="00FD3C84">
              <w:rPr>
                <w:rFonts w:eastAsia="Calibri"/>
                <w:color w:val="000000"/>
                <w:sz w:val="20"/>
                <w:lang w:eastAsia="ru-RU"/>
              </w:rPr>
              <w:t xml:space="preserve"> </w:t>
            </w:r>
            <w:proofErr w:type="spellStart"/>
            <w:r w:rsidR="00FD3C84" w:rsidRPr="00FD3C84">
              <w:rPr>
                <w:rFonts w:eastAsia="Calibri"/>
                <w:color w:val="000000"/>
                <w:sz w:val="20"/>
                <w:lang w:eastAsia="ru-RU"/>
              </w:rPr>
              <w:t>термолина</w:t>
            </w:r>
            <w:proofErr w:type="spellEnd"/>
            <w:r w:rsidR="00FD3C84" w:rsidRPr="00FD3C84">
              <w:rPr>
                <w:rFonts w:eastAsia="Calibri"/>
                <w:color w:val="000000"/>
                <w:sz w:val="20"/>
                <w:lang w:eastAsia="ru-RU"/>
              </w:rPr>
              <w:t xml:space="preserve">. Коленный шарнир должен быть без замка с полностью управляемой микропроцессором фазой опоры и фазой переноса. Формообразующая облицовка должна быть модульной </w:t>
            </w:r>
            <w:r w:rsidR="00FD3C84" w:rsidRPr="00FD3C84">
              <w:rPr>
                <w:rFonts w:eastAsia="Calibri"/>
                <w:color w:val="000000"/>
                <w:sz w:val="20"/>
                <w:lang w:eastAsia="ru-RU"/>
              </w:rPr>
              <w:lastRenderedPageBreak/>
              <w:t xml:space="preserve">мягкой полиуретановой. Косметическое покрытие облицовки должно быть как чулки ортопедические </w:t>
            </w:r>
            <w:proofErr w:type="spellStart"/>
            <w:r w:rsidR="00FD3C84" w:rsidRPr="00FD3C84">
              <w:rPr>
                <w:rFonts w:eastAsia="Calibri"/>
                <w:color w:val="000000"/>
                <w:sz w:val="20"/>
                <w:lang w:eastAsia="ru-RU"/>
              </w:rPr>
              <w:t>перлоновые</w:t>
            </w:r>
            <w:proofErr w:type="spellEnd"/>
            <w:r w:rsidR="00FD3C84" w:rsidRPr="00FD3C84">
              <w:rPr>
                <w:rFonts w:eastAsia="Calibri"/>
                <w:color w:val="000000"/>
                <w:sz w:val="20"/>
                <w:lang w:eastAsia="ru-RU"/>
              </w:rPr>
              <w:t xml:space="preserve">. Крепление должно быть </w:t>
            </w:r>
            <w:proofErr w:type="gramStart"/>
            <w:r w:rsidR="00FD3C84" w:rsidRPr="00FD3C84">
              <w:rPr>
                <w:rFonts w:eastAsia="Calibri"/>
                <w:color w:val="000000"/>
                <w:sz w:val="20"/>
                <w:lang w:eastAsia="ru-RU"/>
              </w:rPr>
              <w:t>вакуумное-мембранное</w:t>
            </w:r>
            <w:proofErr w:type="gramEnd"/>
            <w:r w:rsidR="00FD3C84" w:rsidRPr="00FD3C84">
              <w:rPr>
                <w:rFonts w:eastAsia="Calibri"/>
                <w:color w:val="000000"/>
                <w:sz w:val="20"/>
                <w:lang w:eastAsia="ru-RU"/>
              </w:rPr>
              <w:t xml:space="preserve"> с использованием клапана (2 чехла). Должно </w:t>
            </w:r>
            <w:proofErr w:type="gramStart"/>
            <w:r w:rsidR="00FD3C84" w:rsidRPr="00FD3C84">
              <w:rPr>
                <w:rFonts w:eastAsia="Calibri"/>
                <w:color w:val="000000"/>
                <w:sz w:val="20"/>
                <w:lang w:eastAsia="ru-RU"/>
              </w:rPr>
              <w:t>быть</w:t>
            </w:r>
            <w:proofErr w:type="gramEnd"/>
            <w:r w:rsidR="00FD3C84" w:rsidRPr="00FD3C84">
              <w:rPr>
                <w:rFonts w:eastAsia="Calibri"/>
                <w:color w:val="000000"/>
                <w:sz w:val="20"/>
                <w:lang w:eastAsia="ru-RU"/>
              </w:rPr>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w:t>
            </w:r>
          </w:p>
          <w:p w:rsidR="00E33D9D" w:rsidRPr="00AC11FC" w:rsidRDefault="00FD3C84" w:rsidP="00FD3C84">
            <w:pPr>
              <w:jc w:val="both"/>
              <w:rPr>
                <w:rFonts w:eastAsia="Calibri"/>
                <w:color w:val="000000"/>
                <w:sz w:val="20"/>
                <w:lang w:eastAsia="ru-RU"/>
              </w:rPr>
            </w:pPr>
            <w:r w:rsidRPr="00FD3C84">
              <w:rPr>
                <w:rFonts w:eastAsia="Calibri"/>
                <w:color w:val="000000"/>
                <w:sz w:val="20"/>
                <w:lang w:eastAsia="ru-RU"/>
              </w:rPr>
              <w:t xml:space="preserve">Стопа должна быть карбоновая с торсионным устройством и высокими амортизационными свойствами, обеспечивающая широкий спектр применения, как в обычных бытовых условиях, так и при занятиях непрофессиональным спортом. Регулировочно-соединительные устройства должны соответствовать весу пациента. Тип протеза по назначению: постоянный, с высоким </w:t>
            </w:r>
            <w:r>
              <w:rPr>
                <w:rFonts w:eastAsia="Calibri"/>
                <w:color w:val="000000"/>
                <w:sz w:val="20"/>
                <w:lang w:eastAsia="ru-RU"/>
              </w:rPr>
              <w:t>уровнем двигательной активности</w:t>
            </w:r>
            <w:r w:rsidR="00CF277C">
              <w:rPr>
                <w:rFonts w:eastAsia="Calibri"/>
                <w:color w:val="000000"/>
                <w:sz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E33D9D" w:rsidRPr="005E6A49" w:rsidRDefault="00C71811" w:rsidP="00CE5EE4">
            <w:pPr>
              <w:keepNext/>
              <w:widowControl w:val="0"/>
              <w:suppressLineNumbers/>
              <w:jc w:val="center"/>
            </w:pPr>
            <w:r>
              <w:rPr>
                <w:color w:val="000000"/>
              </w:rPr>
              <w:lastRenderedPageBreak/>
              <w:t>2 500 555,85</w:t>
            </w:r>
          </w:p>
        </w:tc>
        <w:tc>
          <w:tcPr>
            <w:tcW w:w="567" w:type="dxa"/>
            <w:tcBorders>
              <w:top w:val="nil"/>
              <w:left w:val="nil"/>
              <w:bottom w:val="single" w:sz="4" w:space="0" w:color="auto"/>
              <w:right w:val="single" w:sz="4" w:space="0" w:color="auto"/>
            </w:tcBorders>
            <w:shd w:val="clear" w:color="auto" w:fill="auto"/>
            <w:noWrap/>
            <w:vAlign w:val="center"/>
          </w:tcPr>
          <w:p w:rsidR="00E33D9D" w:rsidRPr="00E33D9D" w:rsidRDefault="00F75CF6" w:rsidP="00F75CF6">
            <w:pPr>
              <w:keepNext/>
              <w:widowControl w:val="0"/>
              <w:suppressLineNumbers/>
              <w:jc w:val="center"/>
            </w:pPr>
            <w:r>
              <w:t>1</w:t>
            </w:r>
          </w:p>
        </w:tc>
        <w:tc>
          <w:tcPr>
            <w:tcW w:w="1559" w:type="dxa"/>
            <w:tcBorders>
              <w:top w:val="nil"/>
              <w:left w:val="nil"/>
              <w:bottom w:val="single" w:sz="4" w:space="0" w:color="auto"/>
              <w:right w:val="single" w:sz="4" w:space="0" w:color="auto"/>
            </w:tcBorders>
            <w:shd w:val="clear" w:color="auto" w:fill="auto"/>
            <w:noWrap/>
            <w:vAlign w:val="center"/>
          </w:tcPr>
          <w:p w:rsidR="00E33D9D" w:rsidRPr="005E6A49" w:rsidRDefault="00C71811" w:rsidP="00CE5EE4">
            <w:pPr>
              <w:keepNext/>
              <w:widowControl w:val="0"/>
              <w:suppressLineNumbers/>
              <w:jc w:val="center"/>
            </w:pPr>
            <w:r>
              <w:rPr>
                <w:color w:val="000000"/>
              </w:rPr>
              <w:t>2 500 555,85</w:t>
            </w:r>
          </w:p>
        </w:tc>
        <w:tc>
          <w:tcPr>
            <w:tcW w:w="709" w:type="dxa"/>
            <w:tcBorders>
              <w:top w:val="nil"/>
              <w:left w:val="nil"/>
              <w:bottom w:val="single" w:sz="4" w:space="0" w:color="auto"/>
              <w:right w:val="single" w:sz="4" w:space="0" w:color="auto"/>
            </w:tcBorders>
            <w:shd w:val="clear" w:color="auto" w:fill="auto"/>
            <w:noWrap/>
            <w:vAlign w:val="center"/>
          </w:tcPr>
          <w:p w:rsidR="00E33D9D" w:rsidRPr="00A37B60" w:rsidRDefault="00E33D9D" w:rsidP="004C7374">
            <w:pPr>
              <w:suppressAutoHyphens w:val="0"/>
              <w:jc w:val="center"/>
              <w:rPr>
                <w:color w:val="000000"/>
                <w:szCs w:val="16"/>
                <w:lang w:eastAsia="ru-RU"/>
              </w:rPr>
            </w:pPr>
            <w:r>
              <w:rPr>
                <w:color w:val="000000"/>
                <w:szCs w:val="16"/>
                <w:lang w:eastAsia="ru-RU"/>
              </w:rPr>
              <w:t>12</w:t>
            </w:r>
          </w:p>
        </w:tc>
      </w:tr>
      <w:tr w:rsidR="00773897" w:rsidRPr="008942A1" w:rsidTr="00C71811">
        <w:trPr>
          <w:trHeight w:val="80"/>
        </w:trPr>
        <w:tc>
          <w:tcPr>
            <w:tcW w:w="1716" w:type="dxa"/>
            <w:tcBorders>
              <w:top w:val="nil"/>
              <w:left w:val="single" w:sz="4" w:space="0" w:color="auto"/>
              <w:bottom w:val="single" w:sz="4" w:space="0" w:color="auto"/>
              <w:right w:val="single" w:sz="4" w:space="0" w:color="auto"/>
            </w:tcBorders>
            <w:shd w:val="clear" w:color="auto" w:fill="auto"/>
            <w:vAlign w:val="center"/>
          </w:tcPr>
          <w:p w:rsidR="00773897" w:rsidRPr="00010922" w:rsidRDefault="00773897" w:rsidP="00010922">
            <w:pPr>
              <w:suppressAutoHyphens w:val="0"/>
              <w:jc w:val="center"/>
              <w:rPr>
                <w:color w:val="000000"/>
                <w:sz w:val="22"/>
                <w:szCs w:val="22"/>
                <w:lang w:eastAsia="ru-RU"/>
              </w:rPr>
            </w:pPr>
            <w:r w:rsidRPr="00010922">
              <w:rPr>
                <w:color w:val="000000"/>
                <w:sz w:val="22"/>
                <w:szCs w:val="22"/>
                <w:lang w:eastAsia="ru-RU"/>
              </w:rPr>
              <w:lastRenderedPageBreak/>
              <w:t>ИТОГО</w:t>
            </w:r>
          </w:p>
        </w:tc>
        <w:tc>
          <w:tcPr>
            <w:tcW w:w="3402" w:type="dxa"/>
            <w:tcBorders>
              <w:top w:val="nil"/>
              <w:left w:val="nil"/>
              <w:bottom w:val="single" w:sz="4" w:space="0" w:color="auto"/>
              <w:right w:val="single" w:sz="4" w:space="0" w:color="auto"/>
            </w:tcBorders>
            <w:shd w:val="clear" w:color="auto" w:fill="auto"/>
          </w:tcPr>
          <w:p w:rsidR="00773897" w:rsidRPr="00010922" w:rsidRDefault="00773897" w:rsidP="004C7374">
            <w:pPr>
              <w:pStyle w:val="a5"/>
              <w:keepNext/>
              <w:keepLines/>
              <w:widowControl/>
              <w:autoSpaceDE w:val="0"/>
              <w:rPr>
                <w:rFonts w:ascii="Times New Roman" w:hAnsi="Times New Roman"/>
                <w:b/>
                <w:sz w:val="22"/>
                <w:szCs w:val="22"/>
              </w:rPr>
            </w:pPr>
            <w:r w:rsidRPr="00010922">
              <w:rPr>
                <w:rFonts w:ascii="Times New Roman" w:hAnsi="Times New Roman"/>
                <w:b/>
                <w:sz w:val="22"/>
                <w:szCs w:val="22"/>
              </w:rPr>
              <w:t>х</w:t>
            </w:r>
          </w:p>
        </w:tc>
        <w:tc>
          <w:tcPr>
            <w:tcW w:w="1560" w:type="dxa"/>
            <w:tcBorders>
              <w:top w:val="nil"/>
              <w:left w:val="nil"/>
              <w:bottom w:val="single" w:sz="4" w:space="0" w:color="auto"/>
              <w:right w:val="single" w:sz="4" w:space="0" w:color="auto"/>
            </w:tcBorders>
            <w:shd w:val="clear" w:color="auto" w:fill="auto"/>
            <w:noWrap/>
          </w:tcPr>
          <w:p w:rsidR="00773897" w:rsidRPr="00010922" w:rsidRDefault="00773897" w:rsidP="004C7374">
            <w:pPr>
              <w:pStyle w:val="a3"/>
              <w:autoSpaceDE w:val="0"/>
              <w:jc w:val="center"/>
            </w:pPr>
            <w:r w:rsidRPr="00010922">
              <w:t>х</w:t>
            </w:r>
          </w:p>
        </w:tc>
        <w:tc>
          <w:tcPr>
            <w:tcW w:w="567" w:type="dxa"/>
            <w:tcBorders>
              <w:top w:val="nil"/>
              <w:left w:val="nil"/>
              <w:bottom w:val="single" w:sz="4" w:space="0" w:color="auto"/>
              <w:right w:val="single" w:sz="4" w:space="0" w:color="auto"/>
            </w:tcBorders>
            <w:shd w:val="clear" w:color="auto" w:fill="auto"/>
            <w:noWrap/>
          </w:tcPr>
          <w:p w:rsidR="00773897" w:rsidRPr="00C75725" w:rsidRDefault="00773897" w:rsidP="00F75CF6">
            <w:pPr>
              <w:suppressAutoHyphens w:val="0"/>
              <w:jc w:val="center"/>
              <w:rPr>
                <w:b/>
                <w:color w:val="000000"/>
                <w:sz w:val="22"/>
                <w:szCs w:val="22"/>
                <w:lang w:eastAsia="ru-RU"/>
              </w:rPr>
            </w:pPr>
            <w:r w:rsidRPr="00C75725">
              <w:rPr>
                <w:b/>
                <w:color w:val="000000"/>
                <w:sz w:val="22"/>
                <w:szCs w:val="22"/>
                <w:lang w:eastAsia="ru-RU"/>
              </w:rPr>
              <w:t>1</w:t>
            </w:r>
          </w:p>
        </w:tc>
        <w:tc>
          <w:tcPr>
            <w:tcW w:w="1559" w:type="dxa"/>
            <w:tcBorders>
              <w:top w:val="nil"/>
              <w:left w:val="nil"/>
              <w:bottom w:val="single" w:sz="4" w:space="0" w:color="auto"/>
              <w:right w:val="single" w:sz="4" w:space="0" w:color="auto"/>
            </w:tcBorders>
            <w:shd w:val="clear" w:color="auto" w:fill="auto"/>
            <w:noWrap/>
          </w:tcPr>
          <w:p w:rsidR="00773897" w:rsidRPr="00C71811" w:rsidRDefault="00C71811" w:rsidP="0087682C">
            <w:pPr>
              <w:suppressAutoHyphens w:val="0"/>
              <w:rPr>
                <w:b/>
                <w:color w:val="000000"/>
                <w:sz w:val="22"/>
                <w:szCs w:val="22"/>
                <w:lang w:eastAsia="ru-RU"/>
              </w:rPr>
            </w:pPr>
            <w:r w:rsidRPr="00C71811">
              <w:rPr>
                <w:b/>
                <w:color w:val="000000"/>
              </w:rPr>
              <w:t>2 500 555,85</w:t>
            </w:r>
          </w:p>
        </w:tc>
        <w:tc>
          <w:tcPr>
            <w:tcW w:w="709" w:type="dxa"/>
            <w:tcBorders>
              <w:top w:val="nil"/>
              <w:left w:val="nil"/>
              <w:bottom w:val="single" w:sz="4" w:space="0" w:color="auto"/>
              <w:right w:val="single" w:sz="4" w:space="0" w:color="auto"/>
            </w:tcBorders>
            <w:shd w:val="clear" w:color="auto" w:fill="auto"/>
            <w:noWrap/>
          </w:tcPr>
          <w:p w:rsidR="00773897" w:rsidRPr="00010922" w:rsidRDefault="00773897" w:rsidP="004C7374">
            <w:pPr>
              <w:suppressAutoHyphens w:val="0"/>
              <w:jc w:val="center"/>
              <w:rPr>
                <w:color w:val="000000"/>
                <w:sz w:val="22"/>
                <w:szCs w:val="22"/>
                <w:lang w:eastAsia="ru-RU"/>
              </w:rPr>
            </w:pPr>
            <w:r w:rsidRPr="00010922">
              <w:rPr>
                <w:color w:val="000000"/>
                <w:sz w:val="22"/>
                <w:szCs w:val="22"/>
                <w:lang w:eastAsia="ru-RU"/>
              </w:rPr>
              <w:t>х</w:t>
            </w:r>
          </w:p>
        </w:tc>
      </w:tr>
    </w:tbl>
    <w:p w:rsidR="00A87BE8" w:rsidRDefault="00A87BE8" w:rsidP="007D1FE6">
      <w:pPr>
        <w:suppressAutoHyphens w:val="0"/>
      </w:pPr>
    </w:p>
    <w:p w:rsidR="00954C04" w:rsidRDefault="00954C04" w:rsidP="007D1FE6">
      <w:pPr>
        <w:suppressAutoHyphens w:val="0"/>
      </w:pPr>
    </w:p>
    <w:p w:rsidR="00954C04" w:rsidRDefault="00954C04" w:rsidP="007D1FE6">
      <w:pPr>
        <w:suppressAutoHyphens w:val="0"/>
      </w:pPr>
    </w:p>
    <w:p w:rsidR="00C22579" w:rsidRDefault="00C22579" w:rsidP="00C22579">
      <w:pPr>
        <w:suppressAutoHyphens w:val="0"/>
      </w:pPr>
      <w:r>
        <w:t>Начальник отдела страхования</w:t>
      </w:r>
    </w:p>
    <w:p w:rsidR="00773897" w:rsidRDefault="00C22579" w:rsidP="00C22579">
      <w:pPr>
        <w:suppressAutoHyphens w:val="0"/>
      </w:pPr>
      <w:r>
        <w:t xml:space="preserve">профессиональных рисков                                                                              А.Ю. </w:t>
      </w:r>
      <w:proofErr w:type="gramStart"/>
      <w:r>
        <w:t>Белый</w:t>
      </w:r>
      <w:proofErr w:type="gramEnd"/>
    </w:p>
    <w:p w:rsidR="00A87BE8" w:rsidRDefault="00A87BE8" w:rsidP="00A87BE8">
      <w:pPr>
        <w:jc w:val="both"/>
      </w:pPr>
      <w:r>
        <w:tab/>
        <w:t xml:space="preserve">       </w:t>
      </w:r>
    </w:p>
    <w:p w:rsidR="00A87BE8" w:rsidRPr="00D92D6C" w:rsidRDefault="00A87BE8" w:rsidP="007D1FE6">
      <w:pPr>
        <w:suppressAutoHyphens w:val="0"/>
      </w:pPr>
    </w:p>
    <w:p w:rsidR="007D1FE6" w:rsidRPr="00D92D6C" w:rsidRDefault="007D1FE6" w:rsidP="00D32C45">
      <w:pPr>
        <w:tabs>
          <w:tab w:val="left" w:pos="2910"/>
        </w:tabs>
      </w:pPr>
      <w:r w:rsidRPr="00D92D6C">
        <w:t xml:space="preserve">      </w:t>
      </w:r>
      <w:r>
        <w:t xml:space="preserve"> </w:t>
      </w:r>
    </w:p>
    <w:sectPr w:rsidR="007D1FE6" w:rsidRPr="00D92D6C" w:rsidSect="007A348D">
      <w:pgSz w:w="11906" w:h="16838"/>
      <w:pgMar w:top="992" w:right="85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2947F6"/>
    <w:multiLevelType w:val="hybridMultilevel"/>
    <w:tmpl w:val="A7947232"/>
    <w:lvl w:ilvl="0" w:tplc="2DD6F730">
      <w:start w:val="2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FC486C"/>
    <w:multiLevelType w:val="hybridMultilevel"/>
    <w:tmpl w:val="F0EC3520"/>
    <w:lvl w:ilvl="0" w:tplc="7500E4D2">
      <w:start w:val="3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6A"/>
    <w:rsid w:val="00010922"/>
    <w:rsid w:val="00097D3F"/>
    <w:rsid w:val="001803E7"/>
    <w:rsid w:val="001F52D4"/>
    <w:rsid w:val="00206C2F"/>
    <w:rsid w:val="00207C66"/>
    <w:rsid w:val="00221FF8"/>
    <w:rsid w:val="002346D1"/>
    <w:rsid w:val="00236679"/>
    <w:rsid w:val="00267058"/>
    <w:rsid w:val="00287600"/>
    <w:rsid w:val="002B034B"/>
    <w:rsid w:val="002B42EA"/>
    <w:rsid w:val="002B68EE"/>
    <w:rsid w:val="002E6710"/>
    <w:rsid w:val="002F44BD"/>
    <w:rsid w:val="00380FB0"/>
    <w:rsid w:val="003940F3"/>
    <w:rsid w:val="003C11CB"/>
    <w:rsid w:val="003D6A92"/>
    <w:rsid w:val="003E4192"/>
    <w:rsid w:val="0040370D"/>
    <w:rsid w:val="004A2CAE"/>
    <w:rsid w:val="004D5EA5"/>
    <w:rsid w:val="004D6EEB"/>
    <w:rsid w:val="00515977"/>
    <w:rsid w:val="00574717"/>
    <w:rsid w:val="00585A3C"/>
    <w:rsid w:val="005C545B"/>
    <w:rsid w:val="005E6A49"/>
    <w:rsid w:val="006417E7"/>
    <w:rsid w:val="006A68E5"/>
    <w:rsid w:val="006E1026"/>
    <w:rsid w:val="00773897"/>
    <w:rsid w:val="00794174"/>
    <w:rsid w:val="007A348D"/>
    <w:rsid w:val="007D1FE6"/>
    <w:rsid w:val="007E04E6"/>
    <w:rsid w:val="00835AB8"/>
    <w:rsid w:val="00846554"/>
    <w:rsid w:val="00856CCB"/>
    <w:rsid w:val="008656A9"/>
    <w:rsid w:val="00866A37"/>
    <w:rsid w:val="00872F5F"/>
    <w:rsid w:val="0087682C"/>
    <w:rsid w:val="008800CC"/>
    <w:rsid w:val="008C7C1D"/>
    <w:rsid w:val="00906E9A"/>
    <w:rsid w:val="00937D45"/>
    <w:rsid w:val="00954C04"/>
    <w:rsid w:val="00971879"/>
    <w:rsid w:val="00972B7A"/>
    <w:rsid w:val="009760DD"/>
    <w:rsid w:val="009968D9"/>
    <w:rsid w:val="009A52DD"/>
    <w:rsid w:val="009E450C"/>
    <w:rsid w:val="009F6557"/>
    <w:rsid w:val="009F707E"/>
    <w:rsid w:val="00A26928"/>
    <w:rsid w:val="00A87BE8"/>
    <w:rsid w:val="00AC11FC"/>
    <w:rsid w:val="00AC76FB"/>
    <w:rsid w:val="00AE7527"/>
    <w:rsid w:val="00B35746"/>
    <w:rsid w:val="00B37805"/>
    <w:rsid w:val="00B85D67"/>
    <w:rsid w:val="00BD634F"/>
    <w:rsid w:val="00BF509E"/>
    <w:rsid w:val="00C10B6A"/>
    <w:rsid w:val="00C22579"/>
    <w:rsid w:val="00C663B6"/>
    <w:rsid w:val="00C67070"/>
    <w:rsid w:val="00C71811"/>
    <w:rsid w:val="00C75725"/>
    <w:rsid w:val="00CB6460"/>
    <w:rsid w:val="00CE5EE4"/>
    <w:rsid w:val="00CF277C"/>
    <w:rsid w:val="00D14C79"/>
    <w:rsid w:val="00D32C45"/>
    <w:rsid w:val="00D73DA4"/>
    <w:rsid w:val="00D86FA3"/>
    <w:rsid w:val="00D91220"/>
    <w:rsid w:val="00DD1658"/>
    <w:rsid w:val="00E33D9D"/>
    <w:rsid w:val="00E36B8F"/>
    <w:rsid w:val="00F02D9D"/>
    <w:rsid w:val="00F119B6"/>
    <w:rsid w:val="00F20ED4"/>
    <w:rsid w:val="00F4734E"/>
    <w:rsid w:val="00F51FC8"/>
    <w:rsid w:val="00F52BAD"/>
    <w:rsid w:val="00F55B65"/>
    <w:rsid w:val="00F60083"/>
    <w:rsid w:val="00F75CF6"/>
    <w:rsid w:val="00FC2AF9"/>
    <w:rsid w:val="00FD3C84"/>
    <w:rsid w:val="00FE4888"/>
    <w:rsid w:val="00FF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2191">
      <w:bodyDiv w:val="1"/>
      <w:marLeft w:val="0"/>
      <w:marRight w:val="0"/>
      <w:marTop w:val="0"/>
      <w:marBottom w:val="0"/>
      <w:divBdr>
        <w:top w:val="none" w:sz="0" w:space="0" w:color="auto"/>
        <w:left w:val="none" w:sz="0" w:space="0" w:color="auto"/>
        <w:bottom w:val="none" w:sz="0" w:space="0" w:color="auto"/>
        <w:right w:val="none" w:sz="0" w:space="0" w:color="auto"/>
      </w:divBdr>
    </w:div>
    <w:div w:id="1906640460">
      <w:bodyDiv w:val="1"/>
      <w:marLeft w:val="0"/>
      <w:marRight w:val="0"/>
      <w:marTop w:val="0"/>
      <w:marBottom w:val="0"/>
      <w:divBdr>
        <w:top w:val="none" w:sz="0" w:space="0" w:color="auto"/>
        <w:left w:val="none" w:sz="0" w:space="0" w:color="auto"/>
        <w:bottom w:val="none" w:sz="0" w:space="0" w:color="auto"/>
        <w:right w:val="none" w:sz="0" w:space="0" w:color="auto"/>
      </w:divBdr>
    </w:div>
    <w:div w:id="21121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A17A-28B1-4FAB-8745-6313C310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Streltsova</dc:creator>
  <cp:lastModifiedBy>Блохина Марина Васильевна</cp:lastModifiedBy>
  <cp:revision>29</cp:revision>
  <cp:lastPrinted>2019-06-17T10:35:00Z</cp:lastPrinted>
  <dcterms:created xsi:type="dcterms:W3CDTF">2018-10-22T09:08:00Z</dcterms:created>
  <dcterms:modified xsi:type="dcterms:W3CDTF">2019-06-17T10:36:00Z</dcterms:modified>
</cp:coreProperties>
</file>