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77" w:rsidRDefault="000F3EAA" w:rsidP="000F3EAA">
      <w:pPr>
        <w:jc w:val="center"/>
      </w:pPr>
      <w:r>
        <w:t>Описание объекта закупки</w:t>
      </w:r>
      <w:r w:rsidR="001F6F46">
        <w:t>.</w:t>
      </w:r>
      <w:bookmarkStart w:id="0" w:name="_GoBack"/>
      <w:bookmarkEnd w:id="0"/>
    </w:p>
    <w:p w:rsidR="001F6F46" w:rsidRDefault="001F6F46" w:rsidP="000F3EAA">
      <w:pPr>
        <w:jc w:val="center"/>
      </w:pPr>
      <w:r w:rsidRPr="001F6F46">
        <w:t>Изделия хозяйственные и санитарно-гигиенические. Поставка инвалидам подгузников для взрослых.</w:t>
      </w:r>
    </w:p>
    <w:p w:rsidR="000F3EAA" w:rsidRDefault="000F3EAA"/>
    <w:tbl>
      <w:tblPr>
        <w:tblW w:w="72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699"/>
        <w:gridCol w:w="1002"/>
      </w:tblGrid>
      <w:tr w:rsidR="00C84520" w:rsidRPr="000D1FBD" w:rsidTr="00C84520">
        <w:trPr>
          <w:trHeight w:val="100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520" w:rsidRPr="000D1FBD" w:rsidRDefault="00C84520" w:rsidP="00A975D4">
            <w:pPr>
              <w:snapToGrid w:val="0"/>
              <w:ind w:left="426"/>
              <w:jc w:val="center"/>
              <w:rPr>
                <w:bCs/>
              </w:rPr>
            </w:pPr>
            <w:r w:rsidRPr="000D1FBD">
              <w:rPr>
                <w:bCs/>
              </w:rPr>
              <w:t xml:space="preserve">Наименования, технические </w:t>
            </w:r>
          </w:p>
          <w:p w:rsidR="00C84520" w:rsidRPr="000D1FBD" w:rsidRDefault="00C84520" w:rsidP="00A975D4">
            <w:pPr>
              <w:snapToGrid w:val="0"/>
              <w:ind w:left="786"/>
              <w:rPr>
                <w:bCs/>
              </w:rPr>
            </w:pPr>
            <w:r w:rsidRPr="000D1FBD">
              <w:rPr>
                <w:bCs/>
              </w:rPr>
              <w:t xml:space="preserve"> характеристики Изделий (Страна производитель, шифр)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520" w:rsidRPr="000D1FBD" w:rsidRDefault="00C84520" w:rsidP="00A975D4">
            <w:pPr>
              <w:jc w:val="center"/>
              <w:rPr>
                <w:bCs/>
              </w:rPr>
            </w:pPr>
            <w:r w:rsidRPr="000D1FBD">
              <w:t>Ед. изм. (</w:t>
            </w:r>
            <w:proofErr w:type="spellStart"/>
            <w:r w:rsidRPr="000D1FBD">
              <w:t>шт</w:t>
            </w:r>
            <w:proofErr w:type="spellEnd"/>
            <w:r w:rsidRPr="000D1FBD"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520" w:rsidRPr="000D1FBD" w:rsidRDefault="00C84520" w:rsidP="00A975D4">
            <w:pPr>
              <w:jc w:val="center"/>
            </w:pPr>
            <w:r w:rsidRPr="000D1FBD">
              <w:rPr>
                <w:bCs/>
              </w:rPr>
              <w:t>Кол-во</w:t>
            </w:r>
          </w:p>
        </w:tc>
      </w:tr>
      <w:tr w:rsidR="00C84520" w:rsidRPr="000D1FBD" w:rsidTr="00C84520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0D1FBD" w:rsidRDefault="00C84520" w:rsidP="00A975D4">
            <w:pPr>
              <w:widowControl w:val="0"/>
              <w:spacing w:line="300" w:lineRule="auto"/>
            </w:pPr>
            <w:r w:rsidRPr="00B62D6C">
              <w:rPr>
                <w:sz w:val="18"/>
                <w:szCs w:val="18"/>
                <w:lang w:eastAsia="ru-RU"/>
              </w:rPr>
              <w:t>Подгузники для взрослых, размер «</w:t>
            </w:r>
            <w:r w:rsidRPr="00B62D6C">
              <w:rPr>
                <w:sz w:val="18"/>
                <w:szCs w:val="18"/>
                <w:lang w:val="en-US" w:eastAsia="ru-RU"/>
              </w:rPr>
              <w:t>S</w:t>
            </w:r>
            <w:r w:rsidRPr="00B62D6C">
              <w:rPr>
                <w:sz w:val="18"/>
                <w:szCs w:val="18"/>
                <w:lang w:eastAsia="ru-RU"/>
              </w:rPr>
              <w:t>» (объем талии/бедер до 90 см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C84520" w:rsidRPr="00B62D6C" w:rsidRDefault="00C84520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C84520" w:rsidRPr="000D1FBD" w:rsidRDefault="00C84520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13000</w:t>
            </w:r>
          </w:p>
        </w:tc>
      </w:tr>
      <w:tr w:rsidR="00C84520" w:rsidRPr="000D1FBD" w:rsidTr="00C84520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M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120 см), </w:t>
            </w:r>
          </w:p>
          <w:p w:rsidR="00C84520" w:rsidRPr="00B62D6C" w:rsidRDefault="00C84520" w:rsidP="00A975D4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Сырье и материалы для изготовления подгузников разрешены к применению Федеральной службой по </w:t>
            </w:r>
            <w:r w:rsidRPr="00B62D6C">
              <w:rPr>
                <w:rFonts w:eastAsia="Microsoft YaHei"/>
                <w:sz w:val="18"/>
                <w:szCs w:val="18"/>
              </w:rPr>
              <w:lastRenderedPageBreak/>
              <w:t>надзору в сфере защиты прав потребителей и благополучия человека.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C84520" w:rsidRPr="00B62D6C" w:rsidRDefault="00C84520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47000</w:t>
            </w:r>
          </w:p>
        </w:tc>
      </w:tr>
      <w:tr w:rsidR="00C84520" w:rsidRPr="000D1FBD" w:rsidTr="00C8452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0D1FBD" w:rsidRDefault="00C84520" w:rsidP="00A975D4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150 см), </w:t>
            </w:r>
          </w:p>
          <w:p w:rsidR="00C84520" w:rsidRPr="000D1FBD" w:rsidRDefault="00C84520" w:rsidP="00A975D4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lastRenderedPageBreak/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государственных стандартов, имеют регистрационные удостоверения в соответствии с </w:t>
            </w:r>
            <w:r w:rsidRPr="00B62D6C">
              <w:rPr>
                <w:rFonts w:eastAsia="Microsoft YaHei"/>
                <w:sz w:val="18"/>
                <w:szCs w:val="18"/>
              </w:rPr>
              <w:lastRenderedPageBreak/>
              <w:t>Федеральным законом от 21.11.2011 года № 323-ФЗ «Об основах охраны здоровья граждан в Российской Федерации».</w:t>
            </w:r>
          </w:p>
          <w:p w:rsidR="00C84520" w:rsidRPr="00B62D6C" w:rsidRDefault="00C84520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C84520" w:rsidRPr="000D1FBD" w:rsidRDefault="00C84520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snapToGrid w:val="0"/>
              <w:rPr>
                <w:sz w:val="20"/>
                <w:szCs w:val="20"/>
              </w:rPr>
            </w:pPr>
            <w:proofErr w:type="spellStart"/>
            <w:r w:rsidRPr="00B62D6C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20" w:rsidRPr="00B62D6C" w:rsidRDefault="00C84520" w:rsidP="00A975D4">
            <w:pPr>
              <w:snapToGrid w:val="0"/>
              <w:rPr>
                <w:sz w:val="20"/>
                <w:szCs w:val="20"/>
              </w:rPr>
            </w:pPr>
            <w:r w:rsidRPr="00742396">
              <w:rPr>
                <w:sz w:val="20"/>
                <w:szCs w:val="20"/>
              </w:rPr>
              <w:t>45500</w:t>
            </w:r>
          </w:p>
        </w:tc>
      </w:tr>
      <w:tr w:rsidR="00C84520" w:rsidRPr="000D1FBD" w:rsidTr="00C8452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0D1FBD" w:rsidRDefault="00C84520" w:rsidP="00A975D4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XL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175 см), </w:t>
            </w:r>
          </w:p>
          <w:p w:rsidR="00C84520" w:rsidRPr="000D1FBD" w:rsidRDefault="00C84520" w:rsidP="00A975D4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C84520" w:rsidRPr="00B62D6C" w:rsidRDefault="00C84520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C84520" w:rsidRPr="00B62D6C" w:rsidRDefault="00C84520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C84520" w:rsidRPr="000D1FBD" w:rsidRDefault="00C84520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20" w:rsidRPr="00B62D6C" w:rsidRDefault="00C84520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9000</w:t>
            </w:r>
          </w:p>
        </w:tc>
      </w:tr>
      <w:tr w:rsidR="00C84520" w:rsidRPr="000D1FBD" w:rsidTr="00C8452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520" w:rsidRPr="000D1FBD" w:rsidRDefault="00C84520" w:rsidP="00A975D4">
            <w:pPr>
              <w:snapToGrid w:val="0"/>
            </w:pPr>
            <w:r w:rsidRPr="000D1FBD">
              <w:lastRenderedPageBreak/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0D1FBD" w:rsidRDefault="00C84520" w:rsidP="00A975D4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520" w:rsidRPr="000D1FBD" w:rsidRDefault="00C84520" w:rsidP="00A975D4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20" w:rsidRPr="000D1FBD" w:rsidRDefault="00C84520" w:rsidP="00A975D4">
            <w:pPr>
              <w:snapToGrid w:val="0"/>
            </w:pPr>
            <w:r w:rsidRPr="00742396">
              <w:t>114500</w:t>
            </w:r>
          </w:p>
        </w:tc>
      </w:tr>
    </w:tbl>
    <w:p w:rsidR="000F3EAA" w:rsidRDefault="000F3EAA"/>
    <w:sectPr w:rsidR="000F3EAA" w:rsidSect="005F1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3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6FF0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3EAA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6F46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2CB5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140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66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2396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0D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325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520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063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2EF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09E6-7DCB-4F3D-813E-95BE2C4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Куракина Сусанна Турсунбаевна</cp:lastModifiedBy>
  <cp:revision>12</cp:revision>
  <dcterms:created xsi:type="dcterms:W3CDTF">2017-12-08T14:09:00Z</dcterms:created>
  <dcterms:modified xsi:type="dcterms:W3CDTF">2019-05-16T14:02:00Z</dcterms:modified>
</cp:coreProperties>
</file>