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45" w:rsidRPr="00994A45" w:rsidRDefault="00994A45" w:rsidP="00994A45">
      <w:pPr>
        <w:tabs>
          <w:tab w:val="left" w:pos="80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994A45">
        <w:rPr>
          <w:rFonts w:ascii="Times New Roman" w:eastAsiaTheme="minorEastAsia" w:hAnsi="Times New Roman" w:cs="Times New Roman"/>
          <w:b/>
          <w:sz w:val="20"/>
          <w:szCs w:val="20"/>
        </w:rPr>
        <w:t>ОПИСАНИЕ ОБЪЕКТА ЗАКУПКИ</w:t>
      </w:r>
    </w:p>
    <w:p w:rsidR="00994A45" w:rsidRPr="00994A45" w:rsidRDefault="00994A45" w:rsidP="00994A45">
      <w:pPr>
        <w:tabs>
          <w:tab w:val="left" w:pos="80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994A45" w:rsidRPr="00994A45" w:rsidRDefault="00994A45" w:rsidP="00994A45">
      <w:pPr>
        <w:tabs>
          <w:tab w:val="left" w:pos="80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1D0521">
        <w:rPr>
          <w:rFonts w:ascii="Times New Roman" w:eastAsiaTheme="minorEastAsia" w:hAnsi="Times New Roman" w:cs="Times New Roman"/>
          <w:sz w:val="20"/>
          <w:szCs w:val="20"/>
        </w:rPr>
        <w:t>Инструменты и оборудование медицинские. Поставка инвалидам специальных средств при нарушениях функций выделения</w:t>
      </w:r>
    </w:p>
    <w:p w:rsidR="00994A45" w:rsidRPr="00994A45" w:rsidRDefault="00994A45" w:rsidP="00994A45">
      <w:pPr>
        <w:tabs>
          <w:tab w:val="left" w:pos="80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682"/>
        <w:gridCol w:w="2543"/>
        <w:gridCol w:w="6019"/>
        <w:gridCol w:w="1424"/>
        <w:gridCol w:w="1217"/>
        <w:gridCol w:w="2037"/>
        <w:gridCol w:w="1466"/>
      </w:tblGrid>
      <w:tr w:rsidR="001D0521" w:rsidRPr="001D0521" w:rsidTr="001D0521">
        <w:tc>
          <w:tcPr>
            <w:tcW w:w="22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26" w:type="pct"/>
          </w:tcPr>
          <w:p w:rsidR="001D0521" w:rsidRPr="00994A45" w:rsidRDefault="001D0521" w:rsidP="001D0521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1D0521">
              <w:rPr>
                <w:rFonts w:ascii="Times New Roman" w:hAnsi="Times New Roman"/>
                <w:sz w:val="20"/>
                <w:szCs w:val="20"/>
              </w:rPr>
              <w:t>товаров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4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Цена за единицу измерения, руб.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Стоимость позиции, руб.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представляет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мешок, спаянный с гидроколлоидным адгезивным покрытием (пластиной), (педиатрический). Адгезивная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пластина  на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натуральной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гидроколлоидной основе, с вырезаемым отверстием под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не более 50 мм. Пластина гибкая, должна легко адаптироваться к форме живота. На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пластине  нанесено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специальное защитное покрытие. Мешок из прозрачного </w:t>
            </w:r>
            <w:proofErr w:type="spellStart"/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запахонепроницаемого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 полиэтилена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. Стенка обращенная к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телу  пациента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имеет специальную мягкую нетканую подложку. Мешок закрывается при помощи специального мягкого зажима, который находится в комплекте. Соответствие ГОСТ ISO 10993-1-2011, ГОСТ ISO 10993-5-2011, ГОСТ ISO 10993-10-2011, ГОСТ Р 52770-2016, ГОСТ Р 51632-2014.</w:t>
            </w:r>
          </w:p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182,09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366 000,90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Однокомпонентный дренируемый калоприемник со встроенной плоской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пластиной  –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представляет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мешок неразъемный из прозрачного/ непрозрачного не пропускающего запах полиэтилена, с/без мягкой нетканой подложкой, наличием встроенного фильтра  или без фильтра, с  зажимом  или застежкой на липучке. Встроенная адгезивная пластина из натурального </w:t>
            </w:r>
            <w:proofErr w:type="spellStart"/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гипоаллергенного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гидроколлоида</w:t>
            </w:r>
            <w:proofErr w:type="spellEnd"/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с защитным покрытием, с вырезаемым отверстием под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не менее 10 мм и не более 80  мм. Соответствие ГОСТ ISO 10993-1-2011, ГОСТ ISO 10993-5-2011, ГОСТ ISO 10993-10-2011, ГОСТ Р 52770-2016, ГОСТ Р 51632-2014.</w:t>
            </w:r>
          </w:p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85,45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469 975,00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представляет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мешок неразъемный из прозрачного/непрозрачного не пропускающего запах полиэтилена, с мягкой нетканой подложкой, наличием встроенного фильтра или без фильтра,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с  зажимом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(застежкой). Встроенная адгезивная пластина должна быть из натурального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гипоаллергенного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гидроколлоида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с защитным покрытием, с минимальным отверстием от 15 мм и с максимальным отверстием не более 60 мм.  Соответствие ГОСТ ISO 10993-1-2011, ГОСТ ISO 10993-5-2011, ГОСТ ISO 10993-10-2011, ГОСТ Р 52770-2016, ГОСТ Р 51632-2014.</w:t>
            </w:r>
          </w:p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85,45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256 350,00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Однокомпонентный дренируемый калоприемник со встроенной плоской пластиной – представляет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дренируемый 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мешок неразъемный из прозрачного или непрозрачного не пропускающего запах полиэтилена, с мягкой нетканой подложкой, наличием  фильтра  или без фильтра, с  зажимом или с застежкой. Встроенная адгезивная пластина из натурального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гипоаллергенного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гидроколлоида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с защитным покрытием, с диапазоном вырезаемого отверстия не менее 10 мм и не более 70 мм.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210 942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85,45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18 024 993,90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представляет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мешок  неразъемный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из непрозрачного многослойного, не пропускающего запах полиэтилена, с двусторонним мягким нетканым покрытием, со встроенной застежкой  или зажимом, с фильтром, со встроенной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гидроколлоидной адгезивной пластиной, с защитным покрытием и шаблоном для вырезания отверстий под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. Вырезаемое отверстие адгезивной пластины - не менее 12 мм и не более 70 мм.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189,72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189,72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представляет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мешок неразъемный из прозрачного многослойного, не пропускающего запах полиэтилена, с мягкой нетканой подложкой, с фильтром или без фильтра,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с  зажимом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или с застежкой., встроенной  адгезивной пластиной на натуральной,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не более 110 мм.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149,25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358 200,00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представляет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мешок неразъемный из непрозрачного многослойного, не пропускающего запах полиэтилена, с двусторонним мягким нетканым покрытием, со встроенной застежкой или зажимом, с многокамерным угольным фильтром с тефлоновой мембраной, со встроенной адгезивной пластиной, на натуральной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гидроколлоидной основе. Вырезаемое отверстие адгезивной пластины от 10 мм до 75 мм.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170,72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853 600,00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представляет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мешок анатомической формы неразъемный из непрозрачного не пропускающего запах полиэтилена, с двусторонним мягким нетканым покрытием, со встроенной скрытой застежкой или зажимом на дренажном конце мешка, с фильтром, со встроенной адгезивной пластиной с защитным покрытием и шаблоном для вырезания отверстий под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. Вырезаемое отверстие адгезивной пластины от 10 до 76 мм.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170,72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887 744,00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Однокомпонентный дренируемый калоприемник со встроенной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конвексной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пластиной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Однокомпонентный дренируемый калоприемник со встроенной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конвексной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пластиной - представляет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мешок неразъемный из непрозрачного, не пропускающего запах полиэтилена, с мягкой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нетканной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подложкой, с фильтром, с зажимом, со встроенной адгезивной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конвексной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гидроколлоидной пластиной с защитным покрытием. Вырезаемое отверстие адгезивной пластины от 10 до 70 мм. (Размер в зависимости от потребности Получателя).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313,24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657 804,00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Однокомпонентный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недренируемый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калоприемник со встроенной плоской пластиной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Однокомпонентный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недренируемый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калоприемник со встроенной плоской пластиной – представляет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недренируемый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мешок неразъемный из прозрачного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или  непрозрачного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не пропускающего запах полиэтилена, с мягкой нетканой подложкой, наличием встроенного фильтра. Встроенная адгезивная пластина из натурального </w:t>
            </w:r>
            <w:proofErr w:type="spellStart"/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гипоаллергенного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гидроколлоида</w:t>
            </w:r>
            <w:proofErr w:type="spellEnd"/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с защитным покрытием, с вырезаемым отверстием под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не менее 10 мм и не более 80  мм.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66,01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102 975,60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со встроенной плоской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пластиной  -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уростомный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мешок неразъемный из прозрачного многослойного, не пропускающего запах полиэтилена с  мягкой нетканой подложкой. Наличие </w:t>
            </w:r>
            <w:proofErr w:type="spellStart"/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антирефлюксного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 и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сливного клапана, со встроенной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гидроколлоидной адгезивной пластиной с защитным покрытием и шаблоном для вырезания отверстий под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не менее 10 и не более 55мм. 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114,66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151 351,20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Двухкомпонентный дренируемый калоприемник (адгезивная пластина плоская)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калоприемник в комплекте: Адгезивная пластина должна быть на натуральной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гидроколлоидной основе, с шаблоном для вырезания отверстий под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, с фланцем для крепления мешка диаметром не менее 30 мм и не более 80 мм, соответствующим фланцу мешка. Адгезивная пластина должна иметь стартовое отверстие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вырезания.Соответствие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87,16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17 432,00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Двухкомпонентный дренируемый калоприемник (мешок дренируемый)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Двухкомпонентный дренируемый калоприемник в комплекте: Мешок должен быть из непрозрачного/прозрачного многослойного, не пропускающего запах полиэтилена с мягкой подложкой с зажимом или застежкой, с фильтром или без фильтра, фланцем для крепления мешка к пластине, диаметром не менее 30 мм и не более 80 мм, соответствующим фланцу мешка.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74,32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44 592,00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Двухкомпонентный дренируемый калоприемник (адгезивная пластина плоская)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калоприемник в комплекте: Адгезивная пластина должна быть на натуральной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гидроколлоидной основе, с шаблоном для вырезания отверстий, с фланцем для крепления мешка не более 70 мм. Адгезивная пластина должна иметь стартовое отверстие для вырезания.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87,16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217 900,00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Двухкомпонентный дренируемый калоприемник (мешок дренируемый)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калоприемник в комплекте: Мешок должен быть из непрозрачного многослойного, не пропускающего запах полиэтилена с мягкой подложкой с зажимом или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застежкой,   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>с фильтром или без фильтра, фланцем для крепления мешка к пластине  не более 70 мм.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74,32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557 400,00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Двухкомпонентный дренируемый калоприемник (адгезивная пластина плоская)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калоприемник в комплекте: Адгезивная пластина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должна  быть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на натуральной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гидроколлоидной основе, с защитным покрытием и шаблоном для вырезания отверстий под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, с фланцем для крепления мешка (диаметром 40 мм, 50 мм, 60 мм, 80 мм, 90 мм), соответствующим фланцу мешка.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38182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87,16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3 327 943,12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Двухкомпонентный дренируемый калоприемник (мешок дренируемый)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калоприемник в комплекте: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Мешок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дренируемый должен быть из прозрачного/непрозрачного многослойного не пропускающего запах полиэтилена, с двусторонним мягким нетканым покрытием, с застежкой (зажимом). Крепление мешка к пластине (диаметром 40 мм, 50 мм, 60 мм,80 мм, 90 мм), соответствующим фланцу пластины.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114 546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74,32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8 513 058,72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калоприемник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( пластина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прозрачная)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калоприемник в комплекте: адгезивная пластина с прозрачным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гипоаллергенным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гидроколлоидным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адгезивом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. Пластина должна иметь прозрачное защитное покрытие с шаблоном для вырезания отверстий под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, фланец для крепления мешка, соответствующим фланцу мешка 40 мм, 50 мм, 60 мм.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3662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238,87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874 741,94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калоприемник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( мешок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дренируемый)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Двухкомпонентный дренируемый калоприемник в комплекте: мешок-дренируемый анатомической формы из непрозрачного многослойного, не пропускающего запах полиэтилена, бесшумного, с мягкой нетканой подложкой, с фильтром или с тефлоновой мембраной, со встроенной застежкой на липучке, фланцем для крепления мешка к пластине, соответствующим фланцу пластины. (Размер в зависимости от потребности Получателя).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11 386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176,31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2 007 465,66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( пластина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конвексная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в комплекте: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конвексная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адгезивная пластина для втянутых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гипоаллергенным</w:t>
            </w:r>
            <w:proofErr w:type="spellEnd"/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гидроколлоидным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адгезивом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. Пластина должна иметь защитное покрытие с шаблоном для вырезания отверстий под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, углубление (раковину): 5 мм, 7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мм.;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фланец для крепления мешка (диаметром 50 мм, 60 мм, ), соответствующий фланцу мешка, с креплениями для пояса.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1 240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267,44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331 625,60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мешок)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в комплекте: мешок -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, анатомической формы, дренируемый из непрозрачного многослойного, не пропускающего запах полиэтилена, бесшумного, с мягкой нетканой подложкой, с фильтром или с тефлоновой мембраной, со встроенной застежкой на липучке, фланцем для крепления мешка к пластине, соответствующим фланцу пластины. (Размер в зависимости от </w:t>
            </w:r>
            <w:r w:rsidRPr="00994A45">
              <w:rPr>
                <w:rFonts w:ascii="Times New Roman" w:hAnsi="Times New Roman"/>
                <w:sz w:val="20"/>
                <w:szCs w:val="20"/>
              </w:rPr>
              <w:lastRenderedPageBreak/>
              <w:t>потребности Получателя).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3 720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176,31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655 873,20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недренируемый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калоприемник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( пластина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плоская)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недренируемый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калоприемник в комплекте: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Гипоаллергенная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гидроколлоидная адгезивная пластина должна быть с защитным покрытием и шаблоном для вырезания отверстий под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, с фланцем для крепления мешка, соответствующим фланцу мешка.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114,76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114,76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недренируемый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калоприемник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( мешок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недренируемый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недренируемый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калоприемник в комплекте: мешок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недренируемый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должен быть из непрозрачного многослойного не пропускающего запах полиэтилена, с мягкой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нетканой  подложкой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>, с фильтром или без фильтра, с фланцем для крепления мешка к пластине диаметром, соответствующим фланцу пластины.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85,83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85,83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(пластина плоская)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в комплекте: Адгезивная пластина должна быть на натуральной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гидроколлоидной основе, с шаблоном для вырезания отверстий под </w:t>
            </w:r>
            <w:proofErr w:type="spellStart"/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,  с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фланцем для крепления мешка диаметром не менее 30 мм и не более 80 мм, соответствующим фланцу мешка.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16 310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90,30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1 472 793,00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( мешок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уростомный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в комплекте: мешок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уростомный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, дренируемый, должен быть из прозрачного многослойного, не пропускающего запах полиэтилена, с мягкой нетканой подложкой с одной или двух сторон, с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антирефлюксным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и сливным клапаном. Объем мешка должен быть не менее 300 мл.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48 930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97,14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4 753 060,20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( пластина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прозрачная)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в комплекте: Адгезивная пластина должна быть </w:t>
            </w:r>
            <w:proofErr w:type="spellStart"/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прозрачной,на</w:t>
            </w:r>
            <w:proofErr w:type="spellEnd"/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натуральной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гидроколлоидной основе, с шаблоном для вырезания отверстий под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,  с фланцем для крепления мешка диаметром не менее 40 мм и не более 60мм, соответствующим фланцу мешка; Не менее 3 различных диаметров фланца. 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134 400,00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( мешок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уростомный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в комплекте: Мешок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уростомный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, дренируемый, должен состоять из прозрачного многослойного, не пропускающего запах полиэтилена, с мягкой нетканой подложкой с одной или двух сторон, с фланцем диаметром не менее 40 мм и не более 60мм с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антирефлюксным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и сливным клапаном. Объем мешка должен быть не менее 300 мл. 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1 680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112,15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188 412,00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для втянутых </w:t>
            </w:r>
            <w:proofErr w:type="spellStart"/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стом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( пластина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конвексная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для втянутых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в комплекте: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конвексная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адгезивная пластина для втянутых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гипоаллергенным</w:t>
            </w:r>
            <w:proofErr w:type="spellEnd"/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гидроколлоидным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адгезивом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. Пластина должна иметь защитное покрытие с шаблоном для вырезания отверстий под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, фланец для крепления мешка (диаметром 50 мм; 60 мм), соответствующий фланцу мешка, с креплениями для пояса. Глубина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конвексной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раковины: 5 мм; 7 мм.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263,04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189 388,80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для втянутых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( мешок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уростомный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для втянутых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в комплекте: мешок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уростомный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, дренируемый, из прозрачного многослойного, не пропускающего запах полиэтилена, с мягкой нетканой подложкой с одной или двух сторон, обеспечивающей дополнительную защиту кожи от раздражения, с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антирефлюксным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конвексной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адгезивной пластины для втянутых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2 160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112,83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243 712,80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уроприемников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. Характеристика - качественная. Наименование характеристики: условия применения. Значение характеристики: представляет собой пояс, регулируемый по длине для дополнительной фиксации калоприемников и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уроприемников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. Обоснование - отсутствие характеристики в справочнике КТРУ.     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2 750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247,81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681 477,50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Калоприемник из пластмассы на поясе в комплекте с мешками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Калоприемник из пластмассы на поясе в комплекте с мешками представляет собой Тип 1 или 2 с наличием / без защитного козырька, с прижимным кольцом для крепления. Мешок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колостомный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должен быть изготовлен из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запахонепроницаемой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пленки. Размеры диаметром не менее 20 мм и не более 80 мм.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Сответствие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549,82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549,82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Мочеприемник ножной (мешок для сбора мочи) дневной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Мочеприемник ножной (мешок для сбора мочи) дневной-мешки различного объема не менее 500 мл и не более 1000 мл (ножные дневные) из прозрачного многослойного, не пропускающего запах полиэтилена, с мягкой подложкой, с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антирефлюксным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клапаном, сливным клапаном или краником, с отверстиями для крепления ремней, с переходником для соединения с катетером. Дренажная трубка должна быть не менее 25 см и не более 90 см.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60 376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79,14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4 778 156,64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Мочеприемник прикроватный (мешок для сбора мочи) ночной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Мочеприемник прикроватный (мешок для сбора мочи) ночной-мешки различного объема не менее 1500 мл и не более 2000 мл (прикроватные,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ночные )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из прозрачного многослойного, не пропускающего запах полиэтилена,  с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антирефлюксным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клапаном, со  сливным клапаном или краником, с отверстиями для крепления ремней, с переходником для соединения с катетером. Дренажная трубка не менее 25см и не более 100 см.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60 284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80,53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4 854 670,52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Пара ремешков для крепления мочеприемников (мешков для сбора мочи) к ноге. Характеристика - качественная. Наименование характеристики: условия применения. Значение характеристики: ремешки для крепления мочеприемника на ноге, должны иметь застежку на липучке или на пуговицах для крепления ножного мочеприемника на ноге, регулируемые по длине, в индивидуальной упаковке – 2 шт. Обоснование - отсутствие характеристики в справочнике КТРУ.     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16 894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58,24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983 906,56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Уропрезерватив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с пластырем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Уропрезерватив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с пластырем -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уропрезерватив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должен быть латексный с адгезивным пластырем, с усиленным сливным портом и ригидным концом, обеспечивающим постоянный и беспрепятственный отток мочи даже при перегибании на 90 градусов.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Уропрезервативы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должны быть пяти размеров в зависимости от диаметра широкой части: не менее 20 мм, не более 40 мм. 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7 410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49,97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370 277,70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Уропрезерватив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самоклеящийся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Уропрезерватив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самоклеящийся -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уропрезерватив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должен быть латексный самоклеящийся, предохраняющей половой орган от сдавливания; с усиленным сливным портом и ригидным концом, обеспечивающим постоянный и беспрепятственный отток мочи даже при перегибании на 90 градусов. 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Уропрезервативы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должны </w:t>
            </w:r>
            <w:r w:rsidRPr="00994A45">
              <w:rPr>
                <w:rFonts w:ascii="Times New Roman" w:hAnsi="Times New Roman"/>
                <w:sz w:val="20"/>
                <w:szCs w:val="20"/>
              </w:rPr>
              <w:lastRenderedPageBreak/>
              <w:t>быть пяти размеров в зависимости от диаметра широкой части: не менее 20 мм, не более 40 мм.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24 540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50,05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1 228 227,00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самокатетеризации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лубрицированный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(женский) 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самокатетеризации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лубрицированный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(женский), (не требующий активации водой) - Катетер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лубрицированный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интермиттирующей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самокатетеризации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должен быть изготовлен из термостабильного полиуретана (ПУ) или ПВХ, покрытого снаружи гидрофильным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лубрикантом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поливинилпиролидоном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(ПВП), готовый к применению и не требующий дополнительной активации водой. Катетер должен находиться в индивидуальной упаковке, содержащей стерильный изотонический раствор. Катетер должен иметь воронкообразный коннектор для соединения с мешком-мочеприемником, цвет коннектора соответствует размеру катетера по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Шарьеру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. Наконечник катетера должен быть прямой цилиндрический, тип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Нелатон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, в индивидуальной упаковке.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106,62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102 355,20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самокатетеризации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самокатетеризации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лубрицированный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Cтерильный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одноразовый  катетер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должен быть изготовлен из прозрачного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имплантационно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-нетоксичного поливинилхлорида, покрытого  специальным гидрофильным полимером -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поливинилпирролидоном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, активируемым водой,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цветомаркированный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 коннектор. Иметь закрытый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дистальный конец не менее 2-х боковых отверстий, цветовую маркировку коннектора согласно международным стандартам. Коннектор универсальный, должен подходить к мочеприемнику любого типа. Эффективная длина катетера для мужчин - 40 ± 2 см; для женщин - 20 + 2 см; размер по СН от 8 по 18.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85 198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67,21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5 726 157,58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521">
              <w:rPr>
                <w:rFonts w:ascii="Times New Roman" w:hAnsi="Times New Roman"/>
                <w:sz w:val="20"/>
                <w:szCs w:val="20"/>
              </w:rPr>
              <w:t xml:space="preserve">Наборы-мочеприемники для </w:t>
            </w:r>
            <w:proofErr w:type="spellStart"/>
            <w:proofErr w:type="gramStart"/>
            <w:r w:rsidRPr="001D0521">
              <w:rPr>
                <w:rFonts w:ascii="Times New Roman" w:hAnsi="Times New Roman"/>
                <w:sz w:val="20"/>
                <w:szCs w:val="20"/>
              </w:rPr>
              <w:t>самокатетеризации:мешок</w:t>
            </w:r>
            <w:proofErr w:type="gramEnd"/>
            <w:r w:rsidRPr="001D0521">
              <w:rPr>
                <w:rFonts w:ascii="Times New Roman" w:hAnsi="Times New Roman"/>
                <w:sz w:val="20"/>
                <w:szCs w:val="20"/>
              </w:rPr>
              <w:t>-мочеприемник,катетер</w:t>
            </w:r>
            <w:proofErr w:type="spellEnd"/>
            <w:r w:rsidRPr="001D05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0521">
              <w:rPr>
                <w:rFonts w:ascii="Times New Roman" w:hAnsi="Times New Roman"/>
                <w:sz w:val="20"/>
                <w:szCs w:val="20"/>
              </w:rPr>
              <w:t>лубрицированный</w:t>
            </w:r>
            <w:proofErr w:type="spellEnd"/>
            <w:r w:rsidRPr="001D0521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D0521">
              <w:rPr>
                <w:rFonts w:ascii="Times New Roman" w:hAnsi="Times New Roman"/>
                <w:sz w:val="20"/>
                <w:szCs w:val="20"/>
              </w:rPr>
              <w:t>самокатетеризации</w:t>
            </w:r>
            <w:proofErr w:type="spellEnd"/>
            <w:r w:rsidRPr="001D05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самокатетеризации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лубрицированные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- набор должен состоять из мочеприемника, объединенного с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лубрицированным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катетером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самокатетеризации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и раствором для активации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лубриканта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катетера. Мочеприемник объемом не более 700 мл должен быть изготовлен из прочного полиэтилена, с расположенной внутри пластиковой ампулой со стерильным физиологическим раствором, в узкой части интегрирован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лубрицированный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катетер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самокатетеризации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, изготовленный из поливинилхлорида, покрытый гидрофильным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лубрикантом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, активирующегося при контакте с физиологическим раствором.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Лубрицированный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катетер должен иметь длину не более 40 см, </w:t>
            </w:r>
            <w:r w:rsidRPr="00994A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размер по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Шарьеру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CH 10, 12, 14, 16, 18 прямой цилиндрический наконечник с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неменее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двумя боковыми отверстиями типа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Нелатон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. Должен быть стерилен, находится в индивидуальной упаковке и предназначаться для однократного применения. (Размер в зависимости от потребности Получателя). </w:t>
            </w:r>
            <w:r w:rsidRPr="00994A45">
              <w:rPr>
                <w:rFonts w:ascii="Times New Roman" w:hAnsi="Times New Roman"/>
                <w:sz w:val="20"/>
                <w:szCs w:val="20"/>
              </w:rPr>
              <w:br/>
              <w:t>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29 190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250,05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7 298 959,50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Катетр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эпицистостомы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эпицистостомы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- катетер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эпицистомы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(катетер уретральный длительного пользования) должен состоять из трубки с усиленной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неперекручивающейся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стенкой,  которая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заканчивается прочным гладким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атравматичным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слепым концом (пузырный, проксимальный) - с одной стороны и воронкообразным расширением для подключения к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мочеприемному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устройству - с другой. На дистальном конце катетера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должнен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быть порт c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цветомаркированным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коннектором для раздувания баллона (сбоку), маркировка объема баллона, размера и материала покрытия, максимального объема заполнения баллона.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Нипельный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клапан порта должен быть предназначен для наполнения баллона стерильной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дистилированной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водой шприцем без иглы и исключать утечку воды. У проксимального конца катетера - должен быть прочный и симметричный баллон для наполнения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дистилированной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водой или водой для инъекций. Вблизи пузырного конца катетера - гладкие боковые овальные дренажные отверстия.  Длина катетера не менее 230мм и не более 400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мм.,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СH 8-30, баллон объемом 5-30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куб.мм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.. Упакован в развернутом виде, что позволит вводить катетер прямо из пакета, не прикасаясь к нему. Стерильная упаковка - двойная с вертикальными насечками по обеим сторонам внутренней упаковки для освобождения проксимального и дистального концов катетера. Горизонтальные насечки по всей длине внутренней упаковки - для высвобождения катетера из упаковки после его установки в мочевой пузырь. Срок сохранения стерильности катетера не менее 5 лет.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12 805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71,88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920 423,40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Катетр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эпицистостомы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эпицистостомы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- катетер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эпицистомы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(катетер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Пеццера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, уретральный постоянного пользования) должен быть различных размеров не менее 10 мм не более 36 мм, с универсальным коннектором для присоединения мочеприемника, материал мягкий латекс.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64,67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33 887,08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Система с катетером (для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нефростомии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Система (с катетером)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нефростомии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- Катетер для ЧПНС, должен быть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однопетлевой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, длина не менее 29 см, не менее 6 боковых отверстий на петле, расположенных в шахматном порядке, торцевое отверстие, градуировка на катетере по сантиметрам, материал термопластичный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рентгенконтрастный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полимер,  металлический стилет для выпрямления петли катетера, переходник для соединения катетера с мешком для сбора мочи, длина не менее 25 см, материал ПВХ; коннектор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Луэр-лок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с запирательным механизмом; силиконовая фиксирующая муфта, размеры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7-12.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4 848,86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1 629 216,96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уретерокутанеостомы</w:t>
            </w:r>
            <w:proofErr w:type="spellEnd"/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уретерокутанеостомы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, пошаговая градуировка не менее 1 см по всей длине,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рентгенконтрастная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полоска, тип скошенный на конце, не менее 5 боковых отверстий, переходник для мешка-мочеприемника, овальный/круглый защитный фланец для крепления катетера к коже и предотвращения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подтекания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мочи, длина не менее 45 см, размер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Сh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8-16. (Размер в зависимости от потребности Получателя).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1 503,21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360 770 40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Анальный тампон (средство ухода при недержании кала)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Анальный тампон (средство ухода при недержании кала). Характеристика - качественная. Наименование характеристики: условия применения. Значение характеристики: должен быть изготовлен из полиуретана и покрыт растворимой пленкой. Средство ухода при нарушении дефекации. Используется взрослыми и детьми с 5 лет. Характеристика - количественная. Наименование характеристики: размер. Единица измерения - мм. Значение характеристики: Должен иметь не менее 2 размеров: не более 37 мм, не более 45 мм. Каждый тампон должен находиться в индивидуальной упаковке.  Обоснование - отсутствие характеристики в справочнике КТРУ. 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11 430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238,77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2 729 141,10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Ирригационная система для опорожнения кишечника через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колостому</w:t>
            </w:r>
            <w:proofErr w:type="spellEnd"/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Ирригационная система для опорожнения кишечника через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колостому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- ирригационная система в наборе для проведения процедуры  промывания кишечника через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у пациентов с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колостомой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должна представлять собой набор, состоящий из резервуара для воды со шкалой, объемом не менее 2 литров, со встроенным термометром, регулятором подачи воды и воронкой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;  прижимной пластины, пояса для фиксации ирригационного рукава в области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и не менее 2 ирригационных рукавов  для сбора и отвода кишечного отделяемого вовремя процедуры ирригации. Набор ирригационной системы должен быть упакован в сумочку или чехол. Ирригационная система в наборе должна состоять из:                                                              1. Резервуар для воды с регулятором – 1 шт.; </w:t>
            </w:r>
            <w:r w:rsidRPr="00994A45">
              <w:rPr>
                <w:rFonts w:ascii="Times New Roman" w:hAnsi="Times New Roman"/>
                <w:sz w:val="20"/>
                <w:szCs w:val="20"/>
              </w:rPr>
              <w:br/>
            </w:r>
            <w:r w:rsidRPr="00994A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Воронка – 1 шт.;                                                  </w:t>
            </w:r>
            <w:r w:rsidRPr="00994A45">
              <w:rPr>
                <w:rFonts w:ascii="Times New Roman" w:hAnsi="Times New Roman"/>
                <w:sz w:val="20"/>
                <w:szCs w:val="20"/>
              </w:rPr>
              <w:br/>
              <w:t xml:space="preserve">3. Ирригационные рукава, 60 мм – 2 шт.; </w:t>
            </w:r>
            <w:r w:rsidRPr="00994A45">
              <w:rPr>
                <w:rFonts w:ascii="Times New Roman" w:hAnsi="Times New Roman"/>
                <w:sz w:val="20"/>
                <w:szCs w:val="20"/>
              </w:rPr>
              <w:br/>
              <w:t xml:space="preserve">4. Прижимная пластина – 1 шт.;                              </w:t>
            </w:r>
            <w:r w:rsidRPr="00994A45">
              <w:rPr>
                <w:rFonts w:ascii="Times New Roman" w:hAnsi="Times New Roman"/>
                <w:sz w:val="20"/>
                <w:szCs w:val="20"/>
              </w:rPr>
              <w:br/>
              <w:t xml:space="preserve">5. Ремень – 1 шт.;                                                     </w:t>
            </w:r>
            <w:r w:rsidRPr="00994A45">
              <w:rPr>
                <w:rFonts w:ascii="Times New Roman" w:hAnsi="Times New Roman"/>
                <w:sz w:val="20"/>
                <w:szCs w:val="20"/>
              </w:rPr>
              <w:br/>
              <w:t xml:space="preserve">6. Упаковочная сумка или чехол – 1 шт.; </w:t>
            </w:r>
            <w:r w:rsidRPr="00994A45">
              <w:rPr>
                <w:rFonts w:ascii="Times New Roman" w:hAnsi="Times New Roman"/>
                <w:sz w:val="20"/>
                <w:szCs w:val="20"/>
              </w:rPr>
              <w:br/>
              <w:t xml:space="preserve">7. Инструкция по применению  </w:t>
            </w:r>
            <w:r w:rsidRPr="00994A45">
              <w:rPr>
                <w:rFonts w:ascii="Times New Roman" w:hAnsi="Times New Roman"/>
                <w:sz w:val="20"/>
                <w:szCs w:val="20"/>
              </w:rPr>
              <w:br/>
              <w:t>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105 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4 859,68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510 266,40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в тубе, не менее 60 г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в тубе, не менее 60 г - Паста-герметик должна выравнивать шрамы, впадинки, складки на коже вокруг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. При заполнении зазоров между кожей и пластиной, образовывать высокоэффективный, влагонепроницаемый барьер, препятствующий затеканию содержимого под адгезивную пластину. Также паста должна обладать свойством выравнивания неровностей при нанесении на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перистомальную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кожу. Паста должна быть изготовлена на основе гидроколлоидного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адгезива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. Представлена паста должна быть в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тубах,  не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менее 60 г.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11 938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604,90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7 221 296,20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в полосках, не менее 60 г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в полосках, не менее 60 г Паста-герметик должна выравнивать шрамы, впадинки, складки на коже вокруг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. При заполнении зазоров между кожей и пластиной, образовывать высокоэффективный, влагонепроницаемый барьер, препятствующий затеканию содержимого под адгезивную пластину. Также паста должна обладать свойством выравнивания неровностей при нанесении на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перистомальную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кожу. Паста должна быть изготовлена на основе гидроколлоидного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адгезива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. Представлена паста должна быть в виде полосок, одна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полоска  не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менее 6 гр.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54,53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54,53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Крем защитный в тубе, не менее 60 мл - крем защитный должен иметь профилактическое увлажняющее средство, восстанавливающее нормальный рН кожи, способствующее заживлению раздраженной кожи, применяться для ухода за кожей вокруг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или фистулы, а также за кожей, подверженной воздействию мочи или каловых масс при недержании. Консистенция защитного крема (пасты) должна быть гладкая, однородная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мазеподобная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масса, иметь маслянистую консистенцию. Крем должен быть сделан на основе </w:t>
            </w:r>
            <w:r w:rsidRPr="00994A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гидроколлоидного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адгезива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. Объем одного тюбика не менее 60 мл.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12 630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229,95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2 904 268,50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Пудра (порошок) абсорбирующая в тубе, не менее 25 г - пудра должна представлять гидроколлоидный абсорбирующий порошок, способствующий заживлению кожи вокруг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, а также более длительному ношению моче- и калоприемника, применяться для абсорбции влаги на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мацерированной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коже, а также для ухода за осложненной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перистомальной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кожей. Флакон не менее 25г.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8 389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228,63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1 917 977,07</w:t>
            </w:r>
          </w:p>
        </w:tc>
      </w:tr>
      <w:tr w:rsidR="001D0521" w:rsidRPr="001D0521" w:rsidTr="001D0521">
        <w:trPr>
          <w:trHeight w:val="2437"/>
        </w:trPr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521">
              <w:rPr>
                <w:rFonts w:ascii="Times New Roman" w:hAnsi="Times New Roman"/>
                <w:sz w:val="20"/>
                <w:szCs w:val="20"/>
              </w:rPr>
              <w:t>Защитная пленка во флаконе, не менее 50 мл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Защитная пленка во флаконе, не менее 50 мл - защитная пленка должна представлять собой защитное, водоотталкивающее средство, предохраняющее кожу от воздействия выделений из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и повреждений при удалении клеевой пластины, флакон не менее 50 мл.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772,61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927 132,00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521">
              <w:rPr>
                <w:rFonts w:ascii="Times New Roman" w:hAnsi="Times New Roman"/>
                <w:sz w:val="20"/>
                <w:szCs w:val="20"/>
              </w:rPr>
              <w:t>Защитная пленка в форме салфеток, не менее 30 штук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Защитная пленка в форме салфеток, не менее 30 штук -  должна представлять защитное, водоотталкивающее средство, предохраняющее кожу от воздействия выделений из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и повреждений при удалении клеевой пластины. Салфетки должны быть предназначены для однократного применения, в индивидуальной блистерной упаковке,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предтсавлять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собой мягкие, нетканые целлюлозные салфетки, пропитанные защитным раствором. Представлены в виде салфеток, не менее 30 шт.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199 784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3 358 369,04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521">
              <w:rPr>
                <w:rFonts w:ascii="Times New Roman" w:hAnsi="Times New Roman"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Очиститель для кожи во флаконе, не менее 180 мл. Характеристика - качественная. Наименование характеристики: условия применения. Значение характеристики: очиститель для кожи представляет собой очищающее средство, замещающее мыло, воду и другие агрессивные и высушивающие кожу вещества. Должен использоваться для обработки кожи вокруг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или фистулы, а также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кожи,  подверженной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 воздействию мочи и каловых масс при недержании. Должен обеспечивать гигиену кожи вокруг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, очищать кожу от каловых масс, гноя, мочи, слизи, дезинфицировать и смягчать кожу, безопасно удалять остатки пасты,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адгезивов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4A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других средств ухода за кожей. Для наружного применения. Обоснование - отсутствие характеристики в справочнике КТРУ. 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12 497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232,89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2 910 426,33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521">
              <w:rPr>
                <w:rFonts w:ascii="Times New Roman" w:hAnsi="Times New Roman"/>
                <w:sz w:val="20"/>
                <w:szCs w:val="20"/>
              </w:rPr>
              <w:t>Очиститель для кожи в форме салфеток, не менее 30 штук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Очиститель для кожи в форме салфеток, не менее 30 штук. Характеристика - качественная. Наименование характеристики: условия применения. Значение характеристики: представляет собой универсальное очищающее средство, не содержащее раздражающих кожу компонентов. Должно позволять эффективно и безболезненно снимать адгезивную пластину калоприемника и безопасно удалять остатки клеевого слоя, защитной пасты и пленки, комфортно обеспечивать гигиену кожи вокруг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, не препятствовать дальнейшей эффективной адгезии адгезивной пластины калоприемника. Очиститель не должен содержать спирт и 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являться 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гипоаллергенным</w:t>
            </w:r>
            <w:proofErr w:type="spellEnd"/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. Обоснование - отсутствие характеристики в справочнике КТРУ. 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15,29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15,29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521">
              <w:rPr>
                <w:rFonts w:ascii="Times New Roman" w:hAnsi="Times New Roman"/>
                <w:sz w:val="20"/>
                <w:szCs w:val="20"/>
              </w:rPr>
              <w:t>Нейтрализатор запаха во флаконе, не менее 50 мл</w:t>
            </w:r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Нейтрализатор запаха во флаконе, не менее 50 мл. Характеристика - качественная. Наименование характеристики: условия применения. Значение характеристики: представляет концентрированный раствор, эффективно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нейтрализовывать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любой запах в течение 8 часов. Обоснование - отсутствие характеристики в справочнике КТРУ. 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4 908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320,36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1 572 326,88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521">
              <w:rPr>
                <w:rFonts w:ascii="Times New Roman" w:hAnsi="Times New Roman"/>
                <w:sz w:val="20"/>
                <w:szCs w:val="20"/>
              </w:rPr>
              <w:t>Абсорбирущие</w:t>
            </w:r>
            <w:proofErr w:type="spellEnd"/>
            <w:r w:rsidRPr="001D05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0521">
              <w:rPr>
                <w:rFonts w:ascii="Times New Roman" w:hAnsi="Times New Roman"/>
                <w:sz w:val="20"/>
                <w:szCs w:val="20"/>
              </w:rPr>
              <w:t>желирующие</w:t>
            </w:r>
            <w:proofErr w:type="spellEnd"/>
            <w:r w:rsidRPr="001D0521">
              <w:rPr>
                <w:rFonts w:ascii="Times New Roman" w:hAnsi="Times New Roman"/>
                <w:sz w:val="20"/>
                <w:szCs w:val="20"/>
              </w:rPr>
              <w:t xml:space="preserve"> пакетики для </w:t>
            </w:r>
            <w:proofErr w:type="spellStart"/>
            <w:r w:rsidRPr="001D0521">
              <w:rPr>
                <w:rFonts w:ascii="Times New Roman" w:hAnsi="Times New Roman"/>
                <w:sz w:val="20"/>
                <w:szCs w:val="20"/>
              </w:rPr>
              <w:t>стомных</w:t>
            </w:r>
            <w:proofErr w:type="spellEnd"/>
            <w:r w:rsidRPr="001D0521">
              <w:rPr>
                <w:rFonts w:ascii="Times New Roman" w:hAnsi="Times New Roman"/>
                <w:sz w:val="20"/>
                <w:szCs w:val="20"/>
              </w:rPr>
              <w:t xml:space="preserve"> мешков, 30 </w:t>
            </w:r>
            <w:proofErr w:type="spellStart"/>
            <w:r w:rsidRPr="001D05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Абсорбирущие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желирующие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пакетики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стомных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мешков, 30 шт. Характеристика - качественная. Наименование характеристики: условия применения. Значение характеристики: представляют средство в виде специальных пакетиков – саше для размещения внутри сборного мешка калоприёмника, мочеприёмника. Средство должно преобразовывать содержимое сборного мешка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одеждой. Обоснование - отсутствие характеристики в справочнике КТРУ. 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21,64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21 640,00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521">
              <w:rPr>
                <w:rFonts w:ascii="Times New Roman" w:hAnsi="Times New Roman"/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1D0521">
              <w:rPr>
                <w:rFonts w:ascii="Times New Roman" w:hAnsi="Times New Roman"/>
                <w:sz w:val="20"/>
                <w:szCs w:val="20"/>
              </w:rPr>
              <w:t>уроприемников</w:t>
            </w:r>
            <w:proofErr w:type="spellEnd"/>
            <w:r w:rsidRPr="001D0521">
              <w:rPr>
                <w:rFonts w:ascii="Times New Roman" w:hAnsi="Times New Roman"/>
                <w:sz w:val="20"/>
                <w:szCs w:val="20"/>
              </w:rPr>
              <w:t xml:space="preserve">, не менее 40 </w:t>
            </w:r>
            <w:proofErr w:type="spellStart"/>
            <w:r w:rsidRPr="001D05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уроприемников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, не менее 40 шт. - должна представлять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гипоаллергенную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эластичную гидроколлоидную пластину–</w:t>
            </w:r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полукольцо  для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дополнительной фиксации калоприёмника (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уроприёмника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), абсорбировать влагу кожи, не содержать латекса.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6 640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266,64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1 770 489,60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521">
              <w:rPr>
                <w:rFonts w:ascii="Times New Roman" w:hAnsi="Times New Roman"/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1D0521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- защитное кольцо должно иметь состав, обеспечивающий длительную защиту от протекания. </w:t>
            </w:r>
            <w:r w:rsidRPr="00994A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Защитное кольцо должно быть прочное, легко моделироваться, плотно прилегать к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стоме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, позволять герметично приклеивать калоприемник (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>). Соответствие ГОСТ ISO 10993-1-2011, ГОСТ ISO 10993-5-2011, ГОСТ ISO 10993-10-2011, ГОСТ Р 52770-2016, ГОСТ Р 51632-2014.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161,81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194 172,00</w:t>
            </w:r>
          </w:p>
        </w:tc>
      </w:tr>
      <w:tr w:rsidR="001D0521" w:rsidRPr="001D0521" w:rsidTr="001D0521">
        <w:tc>
          <w:tcPr>
            <w:tcW w:w="222" w:type="pct"/>
          </w:tcPr>
          <w:p w:rsidR="001D0521" w:rsidRPr="001D0521" w:rsidRDefault="001D0521" w:rsidP="001D0521">
            <w:pPr>
              <w:pStyle w:val="aa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1D0521" w:rsidRPr="00994A45" w:rsidRDefault="001D0521" w:rsidP="00994A45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521">
              <w:rPr>
                <w:rFonts w:ascii="Times New Roman" w:hAnsi="Times New Roman"/>
                <w:sz w:val="20"/>
                <w:szCs w:val="20"/>
              </w:rPr>
              <w:t xml:space="preserve">Тампон для </w:t>
            </w:r>
            <w:proofErr w:type="spellStart"/>
            <w:r w:rsidRPr="001D0521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956" w:type="pct"/>
          </w:tcPr>
          <w:p w:rsidR="001D0521" w:rsidRPr="00994A45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 xml:space="preserve">Тампон для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. Характеристика - качественная. Наименование характеристики: условия применения. Значение характеристики: должен представлять тампон из вспененного полиуретана, покрытый </w:t>
            </w:r>
            <w:proofErr w:type="spellStart"/>
            <w:proofErr w:type="gramStart"/>
            <w:r w:rsidRPr="00994A45">
              <w:rPr>
                <w:rFonts w:ascii="Times New Roman" w:hAnsi="Times New Roman"/>
                <w:sz w:val="20"/>
                <w:szCs w:val="20"/>
              </w:rPr>
              <w:t>влагорасстворимой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 пленкой</w:t>
            </w:r>
            <w:proofErr w:type="gram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, длиной  35 мм, под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диаметром 20-35 мм, 35-45 мм, со встроенной </w:t>
            </w:r>
            <w:proofErr w:type="spellStart"/>
            <w:r w:rsidRPr="00994A45">
              <w:rPr>
                <w:rFonts w:ascii="Times New Roman" w:hAnsi="Times New Roman"/>
                <w:sz w:val="20"/>
                <w:szCs w:val="20"/>
              </w:rPr>
              <w:t>гипоаллергенной</w:t>
            </w:r>
            <w:proofErr w:type="spellEnd"/>
            <w:r w:rsidRPr="00994A45">
              <w:rPr>
                <w:rFonts w:ascii="Times New Roman" w:hAnsi="Times New Roman"/>
                <w:sz w:val="20"/>
                <w:szCs w:val="20"/>
              </w:rPr>
              <w:t xml:space="preserve"> гидроколлоидной адгезивной пластиной с защитным покрытием, с угольным фильтром. Обоснование - отсутствие характеристики в справочнике КТРУ. </w:t>
            </w:r>
          </w:p>
          <w:p w:rsidR="001D0521" w:rsidRPr="001D0521" w:rsidRDefault="001D0521" w:rsidP="00994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1D0521" w:rsidRPr="00994A45" w:rsidRDefault="001D0521" w:rsidP="00994A45">
            <w:pPr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5 320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262,62</w:t>
            </w: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sz w:val="20"/>
                <w:szCs w:val="20"/>
              </w:rPr>
              <w:t>1 397 138,40</w:t>
            </w:r>
          </w:p>
        </w:tc>
      </w:tr>
      <w:tr w:rsidR="001D0521" w:rsidRPr="001D0521" w:rsidTr="001D0521">
        <w:tc>
          <w:tcPr>
            <w:tcW w:w="3467" w:type="pct"/>
            <w:gridSpan w:val="4"/>
          </w:tcPr>
          <w:p w:rsidR="001D0521" w:rsidRPr="001D0521" w:rsidRDefault="001D0521" w:rsidP="00994A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052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95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b/>
                <w:sz w:val="20"/>
                <w:szCs w:val="20"/>
              </w:rPr>
              <w:t>1071 482</w:t>
            </w:r>
          </w:p>
        </w:tc>
        <w:tc>
          <w:tcPr>
            <w:tcW w:w="662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1D0521" w:rsidRPr="00994A45" w:rsidRDefault="001D0521" w:rsidP="00994A45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A45">
              <w:rPr>
                <w:rFonts w:ascii="Times New Roman" w:hAnsi="Times New Roman"/>
                <w:b/>
                <w:sz w:val="20"/>
                <w:szCs w:val="20"/>
              </w:rPr>
              <w:t>102 062 933,15</w:t>
            </w:r>
          </w:p>
        </w:tc>
      </w:tr>
    </w:tbl>
    <w:p w:rsidR="00994A45" w:rsidRPr="001D0521" w:rsidRDefault="00994A45" w:rsidP="00994A45">
      <w:pPr>
        <w:tabs>
          <w:tab w:val="left" w:pos="80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1D0521" w:rsidRPr="00994A45" w:rsidRDefault="001D0521" w:rsidP="00994A45">
      <w:pPr>
        <w:tabs>
          <w:tab w:val="left" w:pos="80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1D0521" w:rsidRPr="00994A45" w:rsidSect="003B747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94A45" w:rsidRPr="00994A45" w:rsidRDefault="00994A45" w:rsidP="00994A45">
      <w:pPr>
        <w:tabs>
          <w:tab w:val="left" w:pos="80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994A45" w:rsidRPr="00994A45" w:rsidRDefault="00994A45" w:rsidP="000C33F5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0" w:name="_GoBack"/>
      <w:r w:rsidRPr="00994A45">
        <w:rPr>
          <w:rFonts w:ascii="Times New Roman" w:eastAsiaTheme="minorEastAsia" w:hAnsi="Times New Roman" w:cs="Times New Roman"/>
          <w:b/>
          <w:sz w:val="20"/>
          <w:szCs w:val="20"/>
        </w:rPr>
        <w:t>Место доставки товара:</w:t>
      </w:r>
      <w:r w:rsidRPr="00994A45">
        <w:rPr>
          <w:rFonts w:ascii="Times New Roman" w:eastAsiaTheme="minorEastAsia" w:hAnsi="Times New Roman" w:cs="Times New Roman"/>
          <w:sz w:val="20"/>
          <w:szCs w:val="20"/>
        </w:rPr>
        <w:t xml:space="preserve"> Российская Федерация, Краснодарский край, Товар поставляется непосредственно Получателям по месту жительства (пребывания) инвалида или по месту нахождения пунктов приема, организованных Поставщиком, находящихся в городах Краснодаре, Армавире.</w:t>
      </w:r>
    </w:p>
    <w:p w:rsidR="00994A45" w:rsidRPr="00994A45" w:rsidRDefault="00994A45" w:rsidP="000C33F5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94A45">
        <w:rPr>
          <w:rFonts w:ascii="Times New Roman" w:eastAsiaTheme="minorEastAsia" w:hAnsi="Times New Roman" w:cs="Times New Roman"/>
          <w:b/>
          <w:sz w:val="20"/>
          <w:szCs w:val="20"/>
        </w:rPr>
        <w:t xml:space="preserve">Сроки и условия поставки товара: </w:t>
      </w:r>
      <w:r w:rsidRPr="00994A45">
        <w:rPr>
          <w:rFonts w:ascii="Times New Roman" w:eastAsiaTheme="minorEastAsia" w:hAnsi="Times New Roman" w:cs="Times New Roman"/>
          <w:sz w:val="20"/>
          <w:szCs w:val="20"/>
        </w:rPr>
        <w:t>Поставка товара осуществляется непосредственно Получателю на основании направления в течение 30 (Тридцати) календарных дней с момента получения направленных списков от филиалов Заказчика. Отправка филиалам Заказчика подтверждения о получении списков инвалидов на получение Товара обязательна.</w:t>
      </w:r>
    </w:p>
    <w:p w:rsidR="00994A45" w:rsidRPr="00994A45" w:rsidRDefault="00994A45" w:rsidP="000C33F5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94A45">
        <w:rPr>
          <w:rFonts w:ascii="Times New Roman" w:eastAsiaTheme="minorEastAsia" w:hAnsi="Times New Roman" w:cs="Times New Roman"/>
          <w:sz w:val="20"/>
          <w:szCs w:val="20"/>
        </w:rPr>
        <w:t xml:space="preserve">Передача товара инвалиду Поставщиком подтверждается передачей филиалам Заказчика Акта приема-передачи Товара, Реестра Получателей по контракту, счета, счета-фактуры и отрывных талонов к Направлениям. </w:t>
      </w:r>
    </w:p>
    <w:p w:rsidR="00994A45" w:rsidRPr="00994A45" w:rsidRDefault="00994A45" w:rsidP="000C33F5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94A45">
        <w:rPr>
          <w:rFonts w:ascii="Times New Roman" w:eastAsiaTheme="minorEastAsia" w:hAnsi="Times New Roman" w:cs="Times New Roman"/>
          <w:sz w:val="20"/>
          <w:szCs w:val="20"/>
        </w:rPr>
        <w:t>В течение 10 (Десяти) рабочих дней после заключения контракта на складе поставщика, расположенного на территории Краснодарского края, будет 40 % общего объема товара для возможности Заказчику провести проверку товара на соответствие количеству, комплектности, объему и качеству поставляемых Товаров.</w:t>
      </w:r>
    </w:p>
    <w:p w:rsidR="00994A45" w:rsidRPr="00994A45" w:rsidRDefault="00994A45" w:rsidP="000C33F5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94A45">
        <w:rPr>
          <w:rFonts w:ascii="Times New Roman" w:eastAsiaTheme="minorEastAsia" w:hAnsi="Times New Roman" w:cs="Times New Roman"/>
          <w:sz w:val="20"/>
          <w:szCs w:val="20"/>
        </w:rPr>
        <w:t>Срок сдачи реестров Поставщиком – в течении 10 рабочих дней после выдачи товара получателю.</w:t>
      </w:r>
    </w:p>
    <w:p w:rsidR="00994A45" w:rsidRPr="00994A45" w:rsidRDefault="00994A45" w:rsidP="000C33F5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94A45">
        <w:rPr>
          <w:rFonts w:ascii="Times New Roman" w:eastAsiaTheme="minorEastAsia" w:hAnsi="Times New Roman" w:cs="Times New Roman"/>
          <w:sz w:val="20"/>
          <w:szCs w:val="20"/>
        </w:rPr>
        <w:t>Передать Товар Получателям в соответствии с их выбором:</w:t>
      </w:r>
    </w:p>
    <w:p w:rsidR="00994A45" w:rsidRPr="00994A45" w:rsidRDefault="00994A45" w:rsidP="000C33F5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94A45">
        <w:rPr>
          <w:rFonts w:ascii="Times New Roman" w:eastAsiaTheme="minorEastAsia" w:hAnsi="Times New Roman" w:cs="Times New Roman"/>
          <w:sz w:val="20"/>
          <w:szCs w:val="20"/>
        </w:rPr>
        <w:t>- по месту нахождения пунктов приема, организованных Поставщиком, в день обращения      Получателя;</w:t>
      </w:r>
    </w:p>
    <w:p w:rsidR="00994A45" w:rsidRPr="00994A45" w:rsidRDefault="00994A45" w:rsidP="000C33F5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94A45">
        <w:rPr>
          <w:rFonts w:ascii="Times New Roman" w:eastAsiaTheme="minorEastAsia" w:hAnsi="Times New Roman" w:cs="Times New Roman"/>
          <w:sz w:val="20"/>
          <w:szCs w:val="20"/>
        </w:rPr>
        <w:t>- по месту нахождения Получателя не более 30 (тридцать) дней с момента получения направленных списков Получателей от филиалов Заказчика.</w:t>
      </w:r>
    </w:p>
    <w:p w:rsidR="00994A45" w:rsidRPr="00994A45" w:rsidRDefault="00994A45" w:rsidP="000C33F5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94A45">
        <w:rPr>
          <w:rFonts w:ascii="Times New Roman" w:eastAsiaTheme="minorEastAsia" w:hAnsi="Times New Roman" w:cs="Times New Roman"/>
          <w:sz w:val="20"/>
          <w:szCs w:val="20"/>
        </w:rPr>
        <w:t>Пункты приема организованы в городах Краснодаре, Армавире, на момент заключения государственного контракта. Адреса и график работы, телефонные номера пунктов указаны в приложении к государственному контракту (Приложение № 8). Проход в пункт(ы) приема и передвижение по ним беспрепятственны для инвалидов, в случае необходимости, пункт(ы) приема будут оборудованы пандусами для облегчения передвижения инвалидов. Пункты приема имеют туалетные комнаты, оборудованные для посещения инвалидов. Пункты выдачи оснащены средствами связи.</w:t>
      </w:r>
    </w:p>
    <w:p w:rsidR="00994A45" w:rsidRPr="00994A45" w:rsidRDefault="00994A45" w:rsidP="000C33F5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94A45">
        <w:rPr>
          <w:rFonts w:ascii="Times New Roman" w:eastAsiaTheme="minorEastAsia" w:hAnsi="Times New Roman" w:cs="Times New Roman"/>
          <w:sz w:val="20"/>
          <w:szCs w:val="20"/>
        </w:rPr>
        <w:t xml:space="preserve">Передача изделий получателям проводится в каждом пункте не менее 5 (пяти) дней в неделю, не менее 40 (сорока) часов в неделю, при этом время работы каждого пункта попадает в интервал с 08:00 до 20:00. В пунктах выдачи будут находиться представители Поставщика для возможности предоставления инвалидам консультаций по техническим характеристикам изделий. Подбор изделий (в соответствии с техническим заданием) осуществляется с учетом индивидуальных особенностей конкретного инвалида. Пункты выдачи изделий соответствуют требованиям и стандартам, предъявляемым к условиям хранения изделий медицинского и санитарно-гигиенического назначения для лиц с нарушениями функций выделения. </w:t>
      </w:r>
    </w:p>
    <w:p w:rsidR="00994A45" w:rsidRPr="00994A45" w:rsidRDefault="00994A45" w:rsidP="000C33F5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94A45">
        <w:rPr>
          <w:rFonts w:ascii="Times New Roman" w:eastAsiaTheme="minorEastAsia" w:hAnsi="Times New Roman" w:cs="Times New Roman"/>
          <w:sz w:val="20"/>
          <w:szCs w:val="20"/>
        </w:rPr>
        <w:t xml:space="preserve">В соответствии с приказом Минтруда России от 13.02.2018 № 85н «Об утверждении сроков пользования техническими средствами реабилитации, протезами и </w:t>
      </w:r>
      <w:proofErr w:type="spellStart"/>
      <w:r w:rsidRPr="00994A45">
        <w:rPr>
          <w:rFonts w:ascii="Times New Roman" w:eastAsiaTheme="minorEastAsia" w:hAnsi="Times New Roman" w:cs="Times New Roman"/>
          <w:sz w:val="20"/>
          <w:szCs w:val="20"/>
        </w:rPr>
        <w:t>протезно</w:t>
      </w:r>
      <w:proofErr w:type="spellEnd"/>
      <w:r w:rsidRPr="00994A45">
        <w:rPr>
          <w:rFonts w:ascii="Times New Roman" w:eastAsiaTheme="minorEastAsia" w:hAnsi="Times New Roman" w:cs="Times New Roman"/>
          <w:sz w:val="20"/>
          <w:szCs w:val="20"/>
        </w:rPr>
        <w:t xml:space="preserve"> – ортопедическими изделиями до их замены» срок пользования техническими средствами реабилитации, протезом и </w:t>
      </w:r>
      <w:proofErr w:type="spellStart"/>
      <w:r w:rsidRPr="00994A45">
        <w:rPr>
          <w:rFonts w:ascii="Times New Roman" w:eastAsiaTheme="minorEastAsia" w:hAnsi="Times New Roman" w:cs="Times New Roman"/>
          <w:sz w:val="20"/>
          <w:szCs w:val="20"/>
        </w:rPr>
        <w:t>протезно</w:t>
      </w:r>
      <w:proofErr w:type="spellEnd"/>
      <w:r w:rsidRPr="00994A45">
        <w:rPr>
          <w:rFonts w:ascii="Times New Roman" w:eastAsiaTheme="minorEastAsia" w:hAnsi="Times New Roman" w:cs="Times New Roman"/>
          <w:sz w:val="20"/>
          <w:szCs w:val="20"/>
        </w:rPr>
        <w:t xml:space="preserve"> – ортопедическим изделием (далее ТСР) исчисляется с даты предоставления его инвалиду. В случае,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</w:t>
      </w:r>
    </w:p>
    <w:p w:rsidR="00994A45" w:rsidRPr="00994A45" w:rsidRDefault="00994A45" w:rsidP="000C33F5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94A45">
        <w:rPr>
          <w:rFonts w:ascii="Times New Roman" w:eastAsiaTheme="minorEastAsia" w:hAnsi="Times New Roman" w:cs="Times New Roman"/>
          <w:sz w:val="20"/>
          <w:szCs w:val="20"/>
        </w:rPr>
        <w:t xml:space="preserve">Срок службы специальных средств при нарушениях функций выделения соответствуют срокам приказа Минтруда России от 13.02.2018 № 85н «Об утверждении сроков пользования техническими средствами реабилитации, протезами и </w:t>
      </w:r>
      <w:proofErr w:type="spellStart"/>
      <w:r w:rsidRPr="00994A45">
        <w:rPr>
          <w:rFonts w:ascii="Times New Roman" w:eastAsiaTheme="minorEastAsia" w:hAnsi="Times New Roman" w:cs="Times New Roman"/>
          <w:sz w:val="20"/>
          <w:szCs w:val="20"/>
        </w:rPr>
        <w:t>протезно</w:t>
      </w:r>
      <w:proofErr w:type="spellEnd"/>
      <w:r w:rsidRPr="00994A45">
        <w:rPr>
          <w:rFonts w:ascii="Times New Roman" w:eastAsiaTheme="minorEastAsia" w:hAnsi="Times New Roman" w:cs="Times New Roman"/>
          <w:sz w:val="20"/>
          <w:szCs w:val="20"/>
        </w:rPr>
        <w:t xml:space="preserve"> – ортопедическими изделиями до их замены».</w:t>
      </w:r>
      <w:bookmarkEnd w:id="0"/>
    </w:p>
    <w:sectPr w:rsidR="00994A45" w:rsidRPr="0099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C1A"/>
    <w:multiLevelType w:val="hybridMultilevel"/>
    <w:tmpl w:val="2312E020"/>
    <w:lvl w:ilvl="0" w:tplc="E0640B0C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DC9059B"/>
    <w:multiLevelType w:val="hybridMultilevel"/>
    <w:tmpl w:val="9A00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058E"/>
    <w:multiLevelType w:val="hybridMultilevel"/>
    <w:tmpl w:val="89F4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0B8B"/>
    <w:multiLevelType w:val="hybridMultilevel"/>
    <w:tmpl w:val="F388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87148"/>
    <w:multiLevelType w:val="hybridMultilevel"/>
    <w:tmpl w:val="EB1641AE"/>
    <w:lvl w:ilvl="0" w:tplc="CB52C0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6FE1E9C"/>
    <w:multiLevelType w:val="hybridMultilevel"/>
    <w:tmpl w:val="15CA4D38"/>
    <w:lvl w:ilvl="0" w:tplc="1924D44C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2C867CE"/>
    <w:multiLevelType w:val="hybridMultilevel"/>
    <w:tmpl w:val="B06EEFBE"/>
    <w:lvl w:ilvl="0" w:tplc="EC6CB044">
      <w:start w:val="7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41BE61A7"/>
    <w:multiLevelType w:val="hybridMultilevel"/>
    <w:tmpl w:val="4F28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67136"/>
    <w:multiLevelType w:val="hybridMultilevel"/>
    <w:tmpl w:val="8C423F78"/>
    <w:lvl w:ilvl="0" w:tplc="B0D2D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845BC"/>
    <w:multiLevelType w:val="hybridMultilevel"/>
    <w:tmpl w:val="E9A64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96FEC"/>
    <w:multiLevelType w:val="hybridMultilevel"/>
    <w:tmpl w:val="CB1A5E58"/>
    <w:lvl w:ilvl="0" w:tplc="09D450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4D6857"/>
    <w:multiLevelType w:val="hybridMultilevel"/>
    <w:tmpl w:val="8C94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A084D"/>
    <w:multiLevelType w:val="hybridMultilevel"/>
    <w:tmpl w:val="A18C0FCE"/>
    <w:lvl w:ilvl="0" w:tplc="F5F439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6A6113F"/>
    <w:multiLevelType w:val="hybridMultilevel"/>
    <w:tmpl w:val="CB1A5E58"/>
    <w:lvl w:ilvl="0" w:tplc="09D450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9615CAC"/>
    <w:multiLevelType w:val="hybridMultilevel"/>
    <w:tmpl w:val="F388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23A46"/>
    <w:multiLevelType w:val="hybridMultilevel"/>
    <w:tmpl w:val="FEA006E0"/>
    <w:lvl w:ilvl="0" w:tplc="C7EEB0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F356005"/>
    <w:multiLevelType w:val="hybridMultilevel"/>
    <w:tmpl w:val="3BB4B7D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5"/>
  </w:num>
  <w:num w:numId="15">
    <w:abstractNumId w:val="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83"/>
    <w:rsid w:val="000C33F5"/>
    <w:rsid w:val="001D0521"/>
    <w:rsid w:val="008C0F83"/>
    <w:rsid w:val="00994A45"/>
    <w:rsid w:val="00F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3B7EE-F149-488F-B2B1-7D0D4B59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A4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A4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A4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A45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A45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A45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45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A45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A4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A4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A4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A4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A45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A45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A45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4A45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4A45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4A45"/>
    <w:rPr>
      <w:rFonts w:asciiTheme="majorHAnsi" w:eastAsiaTheme="majorEastAsia" w:hAnsiTheme="majorHAns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94A45"/>
  </w:style>
  <w:style w:type="paragraph" w:styleId="a3">
    <w:name w:val="Title"/>
    <w:basedOn w:val="a"/>
    <w:next w:val="a"/>
    <w:link w:val="a4"/>
    <w:uiPriority w:val="10"/>
    <w:qFormat/>
    <w:rsid w:val="00994A4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94A4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94A4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94A45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994A45"/>
    <w:rPr>
      <w:b/>
      <w:bCs/>
    </w:rPr>
  </w:style>
  <w:style w:type="character" w:styleId="a8">
    <w:name w:val="Emphasis"/>
    <w:basedOn w:val="a0"/>
    <w:uiPriority w:val="20"/>
    <w:qFormat/>
    <w:rsid w:val="00994A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94A45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994A4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94A45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94A45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94A45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994A45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994A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94A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94A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94A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94A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4A45"/>
    <w:pPr>
      <w:outlineLvl w:val="9"/>
    </w:pPr>
  </w:style>
  <w:style w:type="table" w:styleId="af3">
    <w:name w:val="Table Grid"/>
    <w:basedOn w:val="a1"/>
    <w:uiPriority w:val="59"/>
    <w:rsid w:val="00994A4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994A45"/>
    <w:rPr>
      <w:color w:val="0563C1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94A45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4A45"/>
    <w:rPr>
      <w:rFonts w:ascii="Segoe UI" w:eastAsiaTheme="minorEastAsia" w:hAnsi="Segoe UI" w:cs="Segoe UI"/>
      <w:sz w:val="18"/>
      <w:szCs w:val="18"/>
    </w:rPr>
  </w:style>
  <w:style w:type="character" w:customStyle="1" w:styleId="FontStyle27">
    <w:name w:val="Font Style27"/>
    <w:basedOn w:val="a0"/>
    <w:uiPriority w:val="99"/>
    <w:rsid w:val="00994A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6240</Words>
  <Characters>35571</Characters>
  <Application>Microsoft Office Word</Application>
  <DocSecurity>0</DocSecurity>
  <Lines>296</Lines>
  <Paragraphs>83</Paragraphs>
  <ScaleCrop>false</ScaleCrop>
  <Company>Krasnodar region office of FSI</Company>
  <LinksUpToDate>false</LinksUpToDate>
  <CharactersWithSpaces>41728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6</cp:revision>
  <dcterms:created xsi:type="dcterms:W3CDTF">2019-04-11T10:40:00Z</dcterms:created>
  <dcterms:modified xsi:type="dcterms:W3CDTF">2019-04-11T10:45:00Z</dcterms:modified>
</cp:coreProperties>
</file>