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6E" w:rsidRDefault="007C6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F6E" w:rsidRDefault="00064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C6F6E" w:rsidRDefault="007C6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F6E" w:rsidRDefault="00064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обеспечению застрахованного лица, получившего повреждение здоровья вследствие несчастного случая на производстве с парной ампутацией </w:t>
      </w:r>
      <w:r>
        <w:rPr>
          <w:rFonts w:ascii="Times New Roman" w:hAnsi="Times New Roman" w:cs="Times New Roman"/>
          <w:b/>
          <w:sz w:val="24"/>
          <w:szCs w:val="24"/>
        </w:rPr>
        <w:t>(протезом плеча с внешним источником и протезом после вычленения плеча функционально-косметическим)</w:t>
      </w:r>
    </w:p>
    <w:p w:rsidR="007C6F6E" w:rsidRDefault="007C6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6E" w:rsidRDefault="007C6F6E">
      <w:pPr>
        <w:jc w:val="both"/>
        <w:textAlignment w:val="auto"/>
      </w:pPr>
    </w:p>
    <w:tbl>
      <w:tblPr>
        <w:tblW w:w="10349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5499"/>
        <w:gridCol w:w="1276"/>
        <w:gridCol w:w="1418"/>
      </w:tblGrid>
      <w:tr w:rsidR="007C6F6E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6E" w:rsidRDefault="00064BDA">
            <w:pPr>
              <w:tabs>
                <w:tab w:val="left" w:pos="809"/>
              </w:tabs>
              <w:autoSpaceDE w:val="0"/>
              <w:ind w:right="-3"/>
              <w:jc w:val="center"/>
              <w:textAlignment w:val="auto"/>
            </w:pPr>
            <w:r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ar-SA"/>
              </w:rPr>
              <w:t>Наименование объекта закупки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6E" w:rsidRDefault="00064BDA">
            <w:pPr>
              <w:tabs>
                <w:tab w:val="left" w:pos="809"/>
              </w:tabs>
              <w:autoSpaceDE w:val="0"/>
              <w:ind w:right="-3"/>
              <w:jc w:val="center"/>
              <w:textAlignment w:val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6E" w:rsidRDefault="00064BDA">
            <w:pPr>
              <w:tabs>
                <w:tab w:val="left" w:pos="809"/>
              </w:tabs>
              <w:autoSpaceDE w:val="0"/>
              <w:ind w:right="-3"/>
              <w:jc w:val="center"/>
              <w:textAlignment w:val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Объем закупки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6E" w:rsidRDefault="00064BDA">
            <w:pPr>
              <w:tabs>
                <w:tab w:val="left" w:pos="809"/>
              </w:tabs>
              <w:autoSpaceDE w:val="0"/>
              <w:ind w:right="-3"/>
              <w:jc w:val="center"/>
              <w:textAlignment w:val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Цена за единицу (руб.)</w:t>
            </w:r>
          </w:p>
        </w:tc>
      </w:tr>
      <w:tr w:rsidR="007C6F6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6E" w:rsidRDefault="00064BDA">
            <w:pPr>
              <w:overflowPunct w:val="0"/>
              <w:autoSpaceDE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ротез плеча с внешним источником</w:t>
            </w:r>
          </w:p>
          <w:p w:rsidR="007C6F6E" w:rsidRDefault="007C6F6E">
            <w:pPr>
              <w:overflowPunct w:val="0"/>
              <w:autoSpaceDE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F6E" w:rsidRDefault="007C6F6E">
            <w:pPr>
              <w:overflowPunct w:val="0"/>
              <w:autoSpaceDE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6E" w:rsidRDefault="00064BDA">
            <w:pPr>
              <w:overflowPunct w:val="0"/>
              <w:autoSpaceDE w:val="0"/>
              <w:spacing w:line="100" w:lineRule="atLeast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Примерочная гильза должна быть из термопласта.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гильза должна быть из слоистого пластика с применением литьевых смол. Локтевой модуль должен быть присоединен к несущей гильзе плеча. Литиево-ионный аккумулятор должен быть присоединен к несущей гильзе посредством крепежной рамки. Кисть должна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ыть присоединена к пластиковому предплечью логтевого модуля посредством муфты. Локтевой модуль должен быть со сквозным электросоединением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EasyPlug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биоэлектрических гибридных протезов и усилителем сгибания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биоэлектрических гибридных протезов. 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должен быть оснащен внутренним фиксатором в исполнении без храповика и шарнирным соединением с плечом, с регулируемой силой трения. Пластиковое предплечье должно быть длиной 305 мм, окружность приблизительно 260 мм, логтевой шар должен быть из пластика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телесного цвета. Протез должен быть оснащен функцией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позволяет выполнять контролируемое опускание предплечья без необходимости полностью деблокировать, а затем вновь блокировать фиксатором. Максимально допустимая нагрузка для фиксатора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олжна составлять 230 Н при длине предплечья 305 мм. Электроды, установленные на приемной гильзе плеча должны соединяться с разьемом локтевого шара посредством кабелей. Электронные кабели от локтевого шарнира и кабель соединения с аакумулятором должны прохо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внутри несущей гильзы предплечья и должны вставляться в гнезда коаксального штекера электрокисти. Электродвигатель должен быть компактный, но мощный и посредством миниатюрной передачи должен приводить в движение средний и указательный, а также большой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пальцы. В качестве источника энергии должен служить компактный, заряжаемый литиево-ионный аккумулятор. Протез должен комплектоваться 4-мя косметическими оболочками. Технические характеристики электрокисти должны быть следующие: рабочее напряжение 6/7,2 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температура 0-70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ширина раскрытия 100 мм, максимальное усилие захвата приблизительно 90 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скорость 110 мм/с, вес (с системным каркасом руки) 310 г. Технические характеристики литиево-ионного аккумулятора должны быть следующие: емкост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900 мАч, время до полной зарядки приблизительно 3,5 часа, номинальное напряжение (среднее) 7,2 В, вес 65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6E" w:rsidRDefault="00064BDA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6E" w:rsidRDefault="00064BDA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1495110,51</w:t>
            </w:r>
          </w:p>
        </w:tc>
      </w:tr>
      <w:tr w:rsidR="007C6F6E">
        <w:tblPrEx>
          <w:tblCellMar>
            <w:top w:w="0" w:type="dxa"/>
            <w:bottom w:w="0" w:type="dxa"/>
          </w:tblCellMar>
        </w:tblPrEx>
        <w:trPr>
          <w:trHeight w:val="325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6E" w:rsidRDefault="00064BDA">
            <w:pPr>
              <w:overflowPunct w:val="0"/>
              <w:autoSpaceDE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протез после вычленения плеча функционально-косметический</w:t>
            </w:r>
          </w:p>
          <w:p w:rsidR="007C6F6E" w:rsidRDefault="007C6F6E">
            <w:pPr>
              <w:overflowPunct w:val="0"/>
              <w:autoSpaceDE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F6E" w:rsidRDefault="007C6F6E">
            <w:pPr>
              <w:overflowPunct w:val="0"/>
              <w:autoSpaceDE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6E" w:rsidRDefault="00064BDA">
            <w:pPr>
              <w:overflowPunct w:val="0"/>
              <w:autoSpaceDE w:val="0"/>
              <w:spacing w:line="100" w:lineRule="atLeast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после вычленения в левом плечевом суставе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функционально-косметический должен быть постоянным. Гильза должна быть изготовлена по слепку из слоистого пластика на основе акриловых смол с промежуточной гильзой из термопласта. Косметическая кисть должна быть из высококачественного ПВХ-пластизоля медици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нского назначения. Косметическая кисть должна по форме, цвету и структуре поверхности копировать здоровую руку человека – 4 шт. Логтевой модуль должен быть оснащен сквозным электросоединением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EasyPlug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усилителем сгибания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биоэлектрических гибрид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протезов. Логтевой модуль должен быть с внутренним фиксатором в исполнении без храповика и шарнирным соединением с плечом, с регулируемой силой трения. Пластиковое предплечье должно быть длиной 305 мм, окружность =260 мм, логтевой шар должен быть из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астика телесного цвета. Протез должен быть оснащен функцией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позволяет выполнять контролируемое опускание предплечья без необходимости полностью деблокировать, а затем вновь блокировать фиксатором. Максимально допустимая нагрузка для фикс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должна составлять 230 Н при длине предплечья 305 мм. Крепление должно быть бандажом.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6E" w:rsidRDefault="00064BDA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6E" w:rsidRDefault="00064BDA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625934,65</w:t>
            </w:r>
          </w:p>
        </w:tc>
      </w:tr>
    </w:tbl>
    <w:p w:rsidR="007C6F6E" w:rsidRDefault="007C6F6E"/>
    <w:p w:rsidR="007C6F6E" w:rsidRDefault="00064BDA">
      <w:pPr>
        <w:tabs>
          <w:tab w:val="left" w:pos="506"/>
        </w:tabs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безопасности протезно-ортопедических изделий</w:t>
      </w:r>
    </w:p>
    <w:p w:rsidR="007C6F6E" w:rsidRDefault="00064BDA">
      <w:pPr>
        <w:tabs>
          <w:tab w:val="left" w:pos="506"/>
        </w:tabs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(протезов верхних конечностей)</w:t>
      </w:r>
    </w:p>
    <w:p w:rsidR="007C6F6E" w:rsidRDefault="007C6F6E">
      <w:pPr>
        <w:tabs>
          <w:tab w:val="left" w:pos="506"/>
        </w:tabs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6F6E" w:rsidRDefault="00064BDA">
      <w:pPr>
        <w:tabs>
          <w:tab w:val="left" w:pos="506"/>
        </w:tabs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Протезы должны отвечать требованиям документов, применяемых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национальной системе стандартизации, принятыми в соответствии с законодательством Российской Федерации о стандартизации по перечню:</w:t>
      </w:r>
    </w:p>
    <w:p w:rsidR="007C6F6E" w:rsidRDefault="00064BDA">
      <w:pPr>
        <w:tabs>
          <w:tab w:val="left" w:pos="506"/>
        </w:tabs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ГОСТ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ISO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10993-1-2011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медицинские. Оценка биологического действия медицинских изделий. Часть 1. Оценка и исслед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ования»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7C6F6E" w:rsidRDefault="00064BDA">
      <w:pPr>
        <w:tabs>
          <w:tab w:val="left" w:pos="506"/>
        </w:tabs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ГОСТ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ISO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10993-5-2011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Изделия медицинские. Оценка биологического действия медицинских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изделий. Часть 5. Исследования на цитотоксичность: методы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in vitro;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C6F6E" w:rsidRDefault="00064BDA">
      <w:pPr>
        <w:tabs>
          <w:tab w:val="left" w:pos="506"/>
        </w:tabs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ГОСТ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ISO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10993-10-2011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медицинские. Оценка биологического действия медицински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 изделий. Часть 10. Исследования раздражающего и сенсибилизирующего действия»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C6F6E" w:rsidRDefault="00064BDA">
      <w:pPr>
        <w:tabs>
          <w:tab w:val="left" w:pos="506"/>
        </w:tabs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eastAsia="ar-SA"/>
        </w:rPr>
        <w:t>-  ГОСТ Р 52770-2016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7C6F6E" w:rsidRDefault="00064BDA">
      <w:pPr>
        <w:tabs>
          <w:tab w:val="left" w:pos="506"/>
        </w:tabs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51632-2014 «Технические средства реаби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литации людей с ограничениями жизнедеятельности. Общие технические требования и методы испытаний»; </w:t>
      </w:r>
    </w:p>
    <w:p w:rsidR="007C6F6E" w:rsidRDefault="00064BDA">
      <w:pPr>
        <w:tabs>
          <w:tab w:val="left" w:pos="506"/>
        </w:tabs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eastAsia="ar-SA"/>
        </w:rPr>
        <w:t>-  ГОСТ Р ИСО 22523-2007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Протезы конечностей и ортезы наружные. Требования и методы испытаний»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C6F6E" w:rsidRDefault="00064BDA">
      <w:pPr>
        <w:tabs>
          <w:tab w:val="left" w:pos="506"/>
        </w:tabs>
        <w:jc w:val="both"/>
        <w:textAlignment w:val="auto"/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-  ГОСТ Р 56138-2014 «Протезы верхних конечностей. Техничес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C6F6E" w:rsidRDefault="007C6F6E">
      <w:pPr>
        <w:tabs>
          <w:tab w:val="left" w:pos="506"/>
        </w:tabs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6F6E" w:rsidRDefault="00064BDA">
      <w:pPr>
        <w:ind w:firstLine="567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качеству работ по изготовлению протезно-ортопедических изделий (протезов верхних конечностей)</w:t>
      </w:r>
    </w:p>
    <w:p w:rsidR="007C6F6E" w:rsidRDefault="007C6F6E">
      <w:pPr>
        <w:ind w:firstLine="567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6F6E" w:rsidRDefault="00064BD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Протезы, выполнение технологического процесса по изготовлению протезов, протезно-ортопедических изделий, терминология и описание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протезов, протезно-ортопедических изделий должны соответствовать требованиям Национальных стандартов Российской Федерации по перечню:</w:t>
      </w:r>
    </w:p>
    <w:p w:rsidR="007C6F6E" w:rsidRDefault="00064BD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52114-2009 Узлы механических протезов верхних конечностей. Технические требования и методы испытаний;</w:t>
      </w:r>
    </w:p>
    <w:p w:rsidR="007C6F6E" w:rsidRDefault="00064BD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51</w:t>
      </w:r>
      <w:r>
        <w:rPr>
          <w:rFonts w:ascii="Times New Roman" w:hAnsi="Times New Roman" w:cs="Times New Roman"/>
          <w:sz w:val="24"/>
          <w:szCs w:val="24"/>
          <w:lang w:eastAsia="ar-SA"/>
        </w:rPr>
        <w:t>819-2017 Протезирование и ортезирование верхних и нижних конечностей. Термины и определения;</w:t>
      </w:r>
    </w:p>
    <w:p w:rsidR="007C6F6E" w:rsidRDefault="00064BD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ГОСТ Р ИСО 8549-1-2011 Протезирование и ортезирование. Словарь. Часть 1. Обшие термины, относящиеся к наружным протезам конечностей и ортезам;</w:t>
      </w:r>
    </w:p>
    <w:p w:rsidR="007C6F6E" w:rsidRDefault="00064BD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ИСО 8549-</w:t>
      </w:r>
      <w:r>
        <w:rPr>
          <w:rFonts w:ascii="Times New Roman" w:hAnsi="Times New Roman" w:cs="Times New Roman"/>
          <w:sz w:val="24"/>
          <w:szCs w:val="24"/>
          <w:lang w:eastAsia="ar-SA"/>
        </w:rPr>
        <w:t>2-2013 Протезирование и ортезирование. Словарь. Часть 2. Термины, относящиеся к наружным протезам конечностей и их пользователям;</w:t>
      </w:r>
    </w:p>
    <w:p w:rsidR="007C6F6E" w:rsidRDefault="00064BD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ИСО 13405-1-2001 Протезирование и ортезирование. Классификация и описание узлов протезов. Часть 1. Классификация узло</w:t>
      </w:r>
      <w:r>
        <w:rPr>
          <w:rFonts w:ascii="Times New Roman" w:hAnsi="Times New Roman" w:cs="Times New Roman"/>
          <w:sz w:val="24"/>
          <w:szCs w:val="24"/>
          <w:lang w:eastAsia="ar-SA"/>
        </w:rPr>
        <w:t>в протезов;</w:t>
      </w:r>
    </w:p>
    <w:p w:rsidR="007C6F6E" w:rsidRDefault="00064BDA">
      <w:pPr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ГОСТ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13405-3-2001 Протезирование и ортезирование. Классификация и описание узлов протезов. Часть 3. Описание узлов протезов верхних конечностей</w:t>
      </w:r>
    </w:p>
    <w:p w:rsidR="007C6F6E" w:rsidRDefault="00064BD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ИСО 22523-2007 Протезы конечностей и ортезы наружные. Требования и методы испытаний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C6F6E" w:rsidRDefault="00064BD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РСТ РСФСР 644-80 Изделия протезно-ортопедические. Общие технические требования.</w:t>
      </w:r>
    </w:p>
    <w:p w:rsidR="007C6F6E" w:rsidRDefault="00064BDA">
      <w:pPr>
        <w:ind w:firstLine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Организация, непосредственно выполняющая работы должна обеспечивать: выполнение технологического процесса изготовления протезно-ортопедических изделий, включая:</w:t>
      </w:r>
    </w:p>
    <w:p w:rsidR="007C6F6E" w:rsidRDefault="00064BD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входной 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троль комплектующих изделий и материалов;</w:t>
      </w:r>
    </w:p>
    <w:p w:rsidR="007C6F6E" w:rsidRDefault="00064BD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деталей, сборочных единиц;</w:t>
      </w:r>
    </w:p>
    <w:p w:rsidR="007C6F6E" w:rsidRDefault="00064BD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сборку протезов, протезно - ортопедических изделий;</w:t>
      </w:r>
    </w:p>
    <w:p w:rsidR="007C6F6E" w:rsidRDefault="00064BD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операционный и приемочный контроль; </w:t>
      </w:r>
    </w:p>
    <w:p w:rsidR="007C6F6E" w:rsidRDefault="00064BD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испытания и приемку готовой продукции;</w:t>
      </w:r>
    </w:p>
    <w:p w:rsidR="007C6F6E" w:rsidRDefault="00064BD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хранение ее на складе готовой продукции; </w:t>
      </w:r>
    </w:p>
    <w:p w:rsidR="007C6F6E" w:rsidRDefault="00064BD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летворение претензий по качеству изготавливаемой продукции, в том числе замену негодной продукции на годную; </w:t>
      </w:r>
    </w:p>
    <w:p w:rsidR="007C6F6E" w:rsidRDefault="007C6F6E">
      <w:pPr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6F6E" w:rsidRDefault="00064BDA">
      <w:pPr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результатам работ</w:t>
      </w:r>
    </w:p>
    <w:p w:rsidR="007C6F6E" w:rsidRDefault="007C6F6E">
      <w:pPr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6F6E" w:rsidRDefault="00064BDA">
      <w:pPr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Работы по обеспечению протезами верхних конечностей следует считать эффективно исполненными, если у получателя во</w:t>
      </w:r>
      <w:r>
        <w:rPr>
          <w:rFonts w:ascii="Times New Roman" w:hAnsi="Times New Roman" w:cs="Times New Roman"/>
          <w:sz w:val="24"/>
          <w:szCs w:val="24"/>
          <w:lang w:eastAsia="ar-SA"/>
        </w:rPr>
        <w:t>сстановлены двигательные функции конечности, созданы условия для предупреждения развития деформации или благоприятного течения болезни. Работы по обеспечению протезами должны быть выполнены с надлежащим качеством и в установленные сроки. Габаритные размеры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 должны препятствовать ношению верхней одежды.</w:t>
      </w:r>
    </w:p>
    <w:p w:rsidR="007C6F6E" w:rsidRDefault="007C6F6E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6F6E" w:rsidRDefault="00064BDA">
      <w:pPr>
        <w:ind w:firstLine="567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Маркировка, упаковка протезов, гарантии</w:t>
      </w:r>
    </w:p>
    <w:p w:rsidR="007C6F6E" w:rsidRDefault="007C6F6E">
      <w:pPr>
        <w:ind w:firstLine="567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6F6E" w:rsidRDefault="00064BDA">
      <w:pPr>
        <w:keepLines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Маркировка, упаковка протезов должна осуществляться с соблюдением требований ГОСТ Р 51632-2014 «Технические средства реабилитации людей с ограничениями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жизнедеятельности. Общие технические требования и методы испытаний», </w:t>
      </w:r>
    </w:p>
    <w:p w:rsidR="007C6F6E" w:rsidRDefault="00064BDA">
      <w:pPr>
        <w:keepLines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C6F6E" w:rsidRDefault="00064BDA">
      <w:pPr>
        <w:suppressAutoHyphens w:val="0"/>
        <w:ind w:firstLine="709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eastAsia="ar-SA"/>
        </w:rPr>
        <w:t>Протезы должны о</w:t>
      </w:r>
      <w:r>
        <w:rPr>
          <w:rFonts w:ascii="Times New Roman" w:hAnsi="Times New Roman" w:cs="Times New Roman"/>
          <w:sz w:val="24"/>
          <w:szCs w:val="24"/>
          <w:lang w:eastAsia="ar-SA"/>
        </w:rPr>
        <w:t>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7C6F6E" w:rsidRDefault="00064BDA">
      <w:pPr>
        <w:suppressAutoHyphens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гарантирует, что результаты работ, выполненных в соответствии с условиями настоящего Контракта,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адлежащего качества, не имеют дефектов, связанных с разработкой, материалами или качеством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sectPr w:rsidR="007C6F6E">
      <w:pgSz w:w="11906" w:h="16838"/>
      <w:pgMar w:top="28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4BDA">
      <w:r>
        <w:separator/>
      </w:r>
    </w:p>
  </w:endnote>
  <w:endnote w:type="continuationSeparator" w:id="0">
    <w:p w:rsidR="00000000" w:rsidRDefault="0006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4BDA">
      <w:r>
        <w:rPr>
          <w:color w:val="000000"/>
        </w:rPr>
        <w:separator/>
      </w:r>
    </w:p>
  </w:footnote>
  <w:footnote w:type="continuationSeparator" w:id="0">
    <w:p w:rsidR="00000000" w:rsidRDefault="0006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6F6E"/>
    <w:rsid w:val="00064BDA"/>
    <w:rsid w:val="007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2F68D-D0BD-4D43-9274-E8728D39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7093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Ганин Александр Владимирович</cp:lastModifiedBy>
  <cp:revision>2</cp:revision>
  <dcterms:created xsi:type="dcterms:W3CDTF">2019-08-02T06:00:00Z</dcterms:created>
  <dcterms:modified xsi:type="dcterms:W3CDTF">2019-08-02T06:00:00Z</dcterms:modified>
</cp:coreProperties>
</file>