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47" w:rsidRDefault="00656C47" w:rsidP="00656C47">
      <w:pPr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Описание объекта закупки (техническое задание)</w:t>
      </w:r>
    </w:p>
    <w:p w:rsidR="00656C47" w:rsidRDefault="00656C47" w:rsidP="00690842">
      <w:pPr>
        <w:ind w:right="10"/>
        <w:jc w:val="both"/>
      </w:pPr>
      <w:bookmarkStart w:id="0" w:name="_GoBack"/>
      <w:bookmarkEnd w:id="0"/>
    </w:p>
    <w:p w:rsidR="00690842" w:rsidRPr="00A3103A" w:rsidRDefault="00690842" w:rsidP="00690842">
      <w:pPr>
        <w:ind w:right="10"/>
        <w:jc w:val="both"/>
      </w:pPr>
      <w:r w:rsidRPr="00A3103A">
        <w:t>Поставщик должен постав</w:t>
      </w:r>
      <w:r>
        <w:t>лять</w:t>
      </w:r>
      <w:r w:rsidRPr="00A3103A">
        <w:t xml:space="preserve"> </w:t>
      </w:r>
      <w:r w:rsidRPr="006D6586">
        <w:t>специальны</w:t>
      </w:r>
      <w:r>
        <w:t>е</w:t>
      </w:r>
      <w:r w:rsidRPr="006D6586">
        <w:t xml:space="preserve"> устройств</w:t>
      </w:r>
      <w:r>
        <w:t>а</w:t>
      </w:r>
      <w:r w:rsidRPr="006D6586">
        <w:t xml:space="preserve"> для чтения «говорящих книг»</w:t>
      </w:r>
      <w:r>
        <w:t xml:space="preserve"> (далее - Изделия)</w:t>
      </w:r>
      <w:r w:rsidRPr="00A3103A">
        <w:t xml:space="preserve"> </w:t>
      </w:r>
      <w:r>
        <w:t xml:space="preserve">для </w:t>
      </w:r>
      <w:r>
        <w:rPr>
          <w:kern w:val="65532"/>
        </w:rPr>
        <w:t xml:space="preserve">инвалидов </w:t>
      </w:r>
      <w:r w:rsidRPr="00A3103A">
        <w:t>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90842" w:rsidRDefault="00690842" w:rsidP="00690842">
      <w:pPr>
        <w:widowControl w:val="0"/>
        <w:autoSpaceDE w:val="0"/>
        <w:jc w:val="both"/>
        <w:rPr>
          <w:b/>
          <w:bCs/>
        </w:rPr>
      </w:pPr>
    </w:p>
    <w:p w:rsidR="00690842" w:rsidRPr="00A3103A" w:rsidRDefault="00690842" w:rsidP="00690842">
      <w:pPr>
        <w:widowControl w:val="0"/>
        <w:autoSpaceDE w:val="0"/>
        <w:jc w:val="both"/>
      </w:pPr>
      <w:r w:rsidRPr="00A3103A">
        <w:rPr>
          <w:b/>
          <w:bCs/>
        </w:rPr>
        <w:t>Срок поставки:</w:t>
      </w:r>
      <w:r w:rsidRPr="00A3103A">
        <w:t xml:space="preserve"> </w:t>
      </w:r>
      <w:r>
        <w:t>с дня, следующего за днем заключения государственного контракта, до 11.12.2019 года включительно</w:t>
      </w:r>
    </w:p>
    <w:p w:rsidR="00690842" w:rsidRPr="00A3103A" w:rsidRDefault="00690842" w:rsidP="00690842">
      <w:pPr>
        <w:jc w:val="both"/>
      </w:pPr>
    </w:p>
    <w:p w:rsidR="00690842" w:rsidRPr="00A3103A" w:rsidRDefault="00690842" w:rsidP="00690842">
      <w:pPr>
        <w:spacing w:line="240" w:lineRule="atLeast"/>
        <w:jc w:val="both"/>
        <w:rPr>
          <w:b/>
        </w:rPr>
      </w:pPr>
      <w:r w:rsidRPr="00A3103A">
        <w:rPr>
          <w:b/>
        </w:rPr>
        <w:t>1. Поставляемое Изделие должно отвечать следующим требованиям:</w:t>
      </w:r>
    </w:p>
    <w:p w:rsidR="00690842" w:rsidRPr="00A3103A" w:rsidRDefault="00690842" w:rsidP="00690842">
      <w:pPr>
        <w:jc w:val="both"/>
      </w:pPr>
      <w:r w:rsidRPr="00A3103A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690842" w:rsidRDefault="00690842" w:rsidP="00690842">
      <w:pPr>
        <w:jc w:val="both"/>
      </w:pPr>
      <w:r w:rsidRPr="00A3103A">
        <w:t>1.</w:t>
      </w:r>
      <w:r>
        <w:t>2</w:t>
      </w:r>
      <w:r w:rsidRPr="00A3103A">
        <w:t xml:space="preserve">. </w:t>
      </w:r>
      <w:r>
        <w:t>Упаковка Изделия (ТСР) должна обеспечить защиту Изделий (ТСР) от повреждений, порчи (изнашивания) или загрязнения во время хранения и транспортировки к месту использования по назначению (п.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690842" w:rsidRPr="00A3103A" w:rsidRDefault="00690842" w:rsidP="00690842">
      <w:pPr>
        <w:jc w:val="both"/>
      </w:pPr>
      <w:r>
        <w:t xml:space="preserve">1.3. </w:t>
      </w:r>
      <w:r w:rsidRPr="00A3103A">
        <w:t>Изделия должны быть новыми. Изделия должны быть свободными от прав третьих лиц.</w:t>
      </w:r>
    </w:p>
    <w:p w:rsidR="00690842" w:rsidRPr="00A3103A" w:rsidRDefault="00690842" w:rsidP="00690842">
      <w:pPr>
        <w:jc w:val="both"/>
      </w:pPr>
      <w:r>
        <w:t>1.4</w:t>
      </w:r>
      <w:r w:rsidRPr="00A3103A">
        <w:t xml:space="preserve">. </w:t>
      </w:r>
      <w:r w:rsidRPr="00A3103A">
        <w:rPr>
          <w:lang w:eastAsia="ar-SA"/>
        </w:rPr>
        <w:t>Изделия должны отвечать следующим требованиям</w:t>
      </w:r>
      <w:r w:rsidRPr="00A3103A">
        <w:rPr>
          <w:vertAlign w:val="superscript"/>
        </w:rPr>
        <w:footnoteReference w:id="1"/>
      </w:r>
      <w:r w:rsidRPr="00A3103A">
        <w:t>:</w:t>
      </w:r>
    </w:p>
    <w:p w:rsidR="00690842" w:rsidRPr="001C50AE" w:rsidRDefault="00690842" w:rsidP="00690842">
      <w:pPr>
        <w:widowControl w:val="0"/>
        <w:jc w:val="both"/>
        <w:rPr>
          <w:sz w:val="23"/>
          <w:szCs w:val="23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559"/>
        <w:gridCol w:w="2268"/>
        <w:gridCol w:w="1984"/>
        <w:gridCol w:w="1701"/>
        <w:gridCol w:w="709"/>
      </w:tblGrid>
      <w:tr w:rsidR="00690842" w:rsidRPr="001C50AE" w:rsidTr="00690842">
        <w:tc>
          <w:tcPr>
            <w:tcW w:w="425" w:type="dxa"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  <w:r w:rsidRPr="00275BB0">
              <w:t>№</w:t>
            </w:r>
          </w:p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  <w:r w:rsidRPr="00275BB0">
              <w:t>п/п</w:t>
            </w:r>
          </w:p>
        </w:tc>
        <w:tc>
          <w:tcPr>
            <w:tcW w:w="1844" w:type="dxa"/>
            <w:shd w:val="clear" w:color="auto" w:fill="auto"/>
          </w:tcPr>
          <w:p w:rsidR="00690842" w:rsidRPr="00273AAB" w:rsidRDefault="00690842" w:rsidP="00481D3F">
            <w:pPr>
              <w:jc w:val="center"/>
              <w:rPr>
                <w:bCs/>
              </w:rPr>
            </w:pPr>
            <w:r w:rsidRPr="00273AAB">
              <w:rPr>
                <w:bCs/>
              </w:rPr>
              <w:t>Наименование ТРУ по КТРУ</w:t>
            </w:r>
          </w:p>
        </w:tc>
        <w:tc>
          <w:tcPr>
            <w:tcW w:w="1559" w:type="dxa"/>
          </w:tcPr>
          <w:p w:rsidR="00690842" w:rsidRPr="00273AAB" w:rsidRDefault="00690842" w:rsidP="00481D3F">
            <w:pPr>
              <w:jc w:val="center"/>
              <w:rPr>
                <w:bCs/>
              </w:rPr>
            </w:pPr>
            <w:r w:rsidRPr="00273AAB">
              <w:rPr>
                <w:bCs/>
              </w:rPr>
              <w:t>Наименование ТРУ по 86-Н</w:t>
            </w:r>
          </w:p>
        </w:tc>
        <w:tc>
          <w:tcPr>
            <w:tcW w:w="2268" w:type="dxa"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  <w:r w:rsidRPr="00275BB0">
              <w:t>Характеристики Изделия</w:t>
            </w:r>
          </w:p>
        </w:tc>
        <w:tc>
          <w:tcPr>
            <w:tcW w:w="1984" w:type="dxa"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  <w:r w:rsidRPr="00275BB0">
              <w:t>Показатель характеристики</w:t>
            </w:r>
          </w:p>
        </w:tc>
        <w:tc>
          <w:tcPr>
            <w:tcW w:w="1701" w:type="dxa"/>
            <w:shd w:val="clear" w:color="auto" w:fill="auto"/>
          </w:tcPr>
          <w:p w:rsidR="00690842" w:rsidRPr="005418F0" w:rsidRDefault="00690842" w:rsidP="00481D3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5418F0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709" w:type="dxa"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  <w:r w:rsidRPr="00275BB0">
              <w:t>Кол-во</w:t>
            </w:r>
          </w:p>
          <w:p w:rsidR="00690842" w:rsidRPr="00275BB0" w:rsidRDefault="00690842" w:rsidP="00481D3F">
            <w:pPr>
              <w:widowControl w:val="0"/>
              <w:suppressAutoHyphens/>
              <w:jc w:val="center"/>
            </w:pPr>
            <w:r>
              <w:t>Изделий (</w:t>
            </w:r>
            <w:proofErr w:type="spellStart"/>
            <w:r>
              <w:t>шт</w:t>
            </w:r>
            <w:proofErr w:type="spellEnd"/>
            <w:r w:rsidRPr="00275BB0">
              <w:t>)</w:t>
            </w:r>
          </w:p>
          <w:p w:rsidR="00690842" w:rsidRPr="00275BB0" w:rsidRDefault="00690842" w:rsidP="00481D3F">
            <w:pPr>
              <w:widowControl w:val="0"/>
              <w:suppressAutoHyphens/>
              <w:jc w:val="center"/>
            </w:pPr>
          </w:p>
        </w:tc>
      </w:tr>
      <w:tr w:rsidR="00690842" w:rsidRPr="001C50AE" w:rsidTr="00690842">
        <w:tc>
          <w:tcPr>
            <w:tcW w:w="425" w:type="dxa"/>
            <w:vMerge w:val="restart"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  <w:r w:rsidRPr="00275BB0">
              <w:t>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90842" w:rsidRPr="006D6586" w:rsidRDefault="00690842" w:rsidP="00481D3F">
            <w:pPr>
              <w:suppressAutoHyphens/>
              <w:snapToGrid w:val="0"/>
              <w:jc w:val="center"/>
            </w:pPr>
            <w:r w:rsidRPr="006D6586">
              <w:t>Специальное устройств</w:t>
            </w:r>
            <w:r>
              <w:t>о</w:t>
            </w:r>
            <w:r w:rsidRPr="006D6586">
              <w:t xml:space="preserve"> для чтения «говорящих книг»</w:t>
            </w:r>
            <w:r>
              <w:t xml:space="preserve"> на флэш-картах</w:t>
            </w:r>
          </w:p>
        </w:tc>
        <w:tc>
          <w:tcPr>
            <w:tcW w:w="1559" w:type="dxa"/>
            <w:vMerge w:val="restart"/>
          </w:tcPr>
          <w:p w:rsidR="00690842" w:rsidRPr="002D6C81" w:rsidRDefault="00690842" w:rsidP="00481D3F">
            <w:r w:rsidRPr="006D6586">
              <w:t>Специальное устройств</w:t>
            </w:r>
            <w:r>
              <w:t>о</w:t>
            </w:r>
            <w:r w:rsidRPr="006D6586">
              <w:t xml:space="preserve"> для чтения «говорящих книг»</w:t>
            </w:r>
            <w:r>
              <w:t xml:space="preserve"> на флэш-картах</w:t>
            </w:r>
          </w:p>
        </w:tc>
        <w:tc>
          <w:tcPr>
            <w:tcW w:w="2268" w:type="dxa"/>
            <w:shd w:val="clear" w:color="auto" w:fill="auto"/>
          </w:tcPr>
          <w:p w:rsidR="00690842" w:rsidRPr="002D6C81" w:rsidRDefault="00690842" w:rsidP="00481D3F">
            <w:r>
              <w:t xml:space="preserve">Должно позволять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специальном защищенном </w:t>
            </w:r>
            <w:proofErr w:type="spellStart"/>
            <w:r>
              <w:lastRenderedPageBreak/>
              <w:t>тифлоформате</w:t>
            </w:r>
            <w:proofErr w:type="spellEnd"/>
            <w:r>
              <w:t xml:space="preserve"> воспроизведения </w:t>
            </w:r>
            <w:r w:rsidRPr="006D6586">
              <w:t xml:space="preserve">«говорящих </w:t>
            </w:r>
            <w:proofErr w:type="gramStart"/>
            <w:r w:rsidRPr="006D6586">
              <w:t>книг»</w:t>
            </w:r>
            <w:r>
              <w:t xml:space="preserve"> </w:t>
            </w:r>
            <w:r w:rsidRPr="002D6C81">
              <w:t xml:space="preserve">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90842" w:rsidRPr="002D6C81" w:rsidRDefault="00690842" w:rsidP="00481D3F">
            <w:pPr>
              <w:jc w:val="center"/>
            </w:pPr>
            <w:r>
              <w:lastRenderedPageBreak/>
              <w:t xml:space="preserve">Наличие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0842" w:rsidRPr="005418F0" w:rsidRDefault="00690842" w:rsidP="00481D3F">
            <w:pPr>
              <w:jc w:val="center"/>
              <w:rPr>
                <w:sz w:val="22"/>
                <w:szCs w:val="22"/>
              </w:rPr>
            </w:pPr>
            <w:r w:rsidRPr="005418F0">
              <w:rPr>
                <w:sz w:val="22"/>
                <w:szCs w:val="22"/>
              </w:rPr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</w:t>
            </w:r>
            <w:r>
              <w:rPr>
                <w:sz w:val="22"/>
                <w:szCs w:val="22"/>
              </w:rPr>
              <w:t xml:space="preserve"> (далее – Методические рекомендации</w:t>
            </w:r>
          </w:p>
          <w:p w:rsidR="00690842" w:rsidRPr="002D6C81" w:rsidRDefault="00690842" w:rsidP="00481D3F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185</w:t>
            </w:r>
          </w:p>
        </w:tc>
      </w:tr>
      <w:tr w:rsidR="00690842" w:rsidRPr="001C50AE" w:rsidTr="00690842">
        <w:tc>
          <w:tcPr>
            <w:tcW w:w="425" w:type="dxa"/>
            <w:vMerge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690842" w:rsidRPr="002D6C81" w:rsidRDefault="00690842" w:rsidP="00481D3F">
            <w:pPr>
              <w:widowControl w:val="0"/>
              <w:suppressAutoHyphens/>
            </w:pPr>
          </w:p>
        </w:tc>
        <w:tc>
          <w:tcPr>
            <w:tcW w:w="1559" w:type="dxa"/>
            <w:vMerge/>
          </w:tcPr>
          <w:p w:rsidR="00690842" w:rsidRDefault="00690842" w:rsidP="00481D3F">
            <w:pPr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690842" w:rsidRPr="002F471F" w:rsidRDefault="00690842" w:rsidP="00481D3F">
            <w:pPr>
              <w:snapToGrid w:val="0"/>
            </w:pPr>
            <w:r>
              <w:t xml:space="preserve">Специальное устройство для чтения </w:t>
            </w:r>
            <w:r w:rsidRPr="006D6586">
              <w:t>«говорящих книг»</w:t>
            </w:r>
            <w:r>
              <w:t xml:space="preserve"> обеспечивает воспроизведение </w:t>
            </w:r>
            <w:r w:rsidRPr="006D6586">
              <w:t>«говорящих книг»</w:t>
            </w:r>
            <w:r>
              <w:t xml:space="preserve">, записанных на </w:t>
            </w:r>
            <w:proofErr w:type="spellStart"/>
            <w:r>
              <w:t>флеш</w:t>
            </w:r>
            <w:proofErr w:type="spellEnd"/>
            <w:r>
              <w:t>-картах типа SD и SDHC с поддержкой файловых структур</w:t>
            </w:r>
          </w:p>
        </w:tc>
        <w:tc>
          <w:tcPr>
            <w:tcW w:w="1984" w:type="dxa"/>
            <w:shd w:val="clear" w:color="auto" w:fill="auto"/>
          </w:tcPr>
          <w:p w:rsidR="00690842" w:rsidRPr="002D6C81" w:rsidRDefault="00690842" w:rsidP="00481D3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1701" w:type="dxa"/>
            <w:vMerge/>
            <w:shd w:val="clear" w:color="auto" w:fill="auto"/>
          </w:tcPr>
          <w:p w:rsidR="00690842" w:rsidRPr="002D6C81" w:rsidRDefault="00690842" w:rsidP="00481D3F">
            <w:pPr>
              <w:snapToGrid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</w:p>
        </w:tc>
      </w:tr>
      <w:tr w:rsidR="00690842" w:rsidRPr="001C50AE" w:rsidTr="00690842">
        <w:tc>
          <w:tcPr>
            <w:tcW w:w="425" w:type="dxa"/>
            <w:vMerge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44" w:type="dxa"/>
            <w:vMerge/>
            <w:shd w:val="clear" w:color="auto" w:fill="auto"/>
          </w:tcPr>
          <w:p w:rsidR="00690842" w:rsidRPr="002D6C81" w:rsidRDefault="00690842" w:rsidP="00481D3F">
            <w:pPr>
              <w:widowControl w:val="0"/>
              <w:suppressAutoHyphens/>
            </w:pPr>
          </w:p>
        </w:tc>
        <w:tc>
          <w:tcPr>
            <w:tcW w:w="1559" w:type="dxa"/>
            <w:vMerge/>
          </w:tcPr>
          <w:p w:rsidR="00690842" w:rsidRDefault="00690842" w:rsidP="00481D3F">
            <w:pPr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</w:pPr>
            <w:r>
              <w:t xml:space="preserve">Руководство </w:t>
            </w:r>
            <w:r w:rsidRPr="002D6C81">
              <w:t>по эксплуатации Изделия на русском языке</w:t>
            </w:r>
          </w:p>
        </w:tc>
        <w:tc>
          <w:tcPr>
            <w:tcW w:w="1984" w:type="dxa"/>
            <w:shd w:val="clear" w:color="auto" w:fill="auto"/>
          </w:tcPr>
          <w:p w:rsidR="00690842" w:rsidRPr="002D6C81" w:rsidRDefault="00690842" w:rsidP="00481D3F">
            <w:pPr>
              <w:snapToGrid w:val="0"/>
              <w:jc w:val="center"/>
              <w:rPr>
                <w:color w:val="000000"/>
              </w:rPr>
            </w:pPr>
            <w:r w:rsidRPr="002D6C81"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42" w:rsidRPr="002D6C81" w:rsidRDefault="00690842" w:rsidP="00481D3F">
            <w:pPr>
              <w:snapToGrid w:val="0"/>
              <w:jc w:val="center"/>
            </w:pPr>
            <w:r w:rsidRPr="002D6C81">
              <w:t xml:space="preserve">ГОСТ </w:t>
            </w:r>
            <w:r>
              <w:t xml:space="preserve">Р </w:t>
            </w:r>
            <w:r w:rsidRPr="002D6C81">
              <w:t>51632-2014 п.4.9.3</w:t>
            </w:r>
          </w:p>
        </w:tc>
        <w:tc>
          <w:tcPr>
            <w:tcW w:w="709" w:type="dxa"/>
            <w:vMerge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</w:p>
        </w:tc>
      </w:tr>
      <w:tr w:rsidR="00690842" w:rsidRPr="001C50AE" w:rsidTr="00690842">
        <w:tc>
          <w:tcPr>
            <w:tcW w:w="9781" w:type="dxa"/>
            <w:gridSpan w:val="6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right"/>
            </w:pPr>
            <w:r w:rsidRPr="00275BB0">
              <w:t>Итого:</w:t>
            </w:r>
          </w:p>
        </w:tc>
        <w:tc>
          <w:tcPr>
            <w:tcW w:w="709" w:type="dxa"/>
            <w:shd w:val="clear" w:color="auto" w:fill="auto"/>
          </w:tcPr>
          <w:p w:rsidR="00690842" w:rsidRPr="00275BB0" w:rsidRDefault="00690842" w:rsidP="00481D3F">
            <w:pPr>
              <w:widowControl w:val="0"/>
              <w:suppressAutoHyphens/>
              <w:snapToGrid w:val="0"/>
              <w:jc w:val="center"/>
            </w:pPr>
            <w:r>
              <w:t>185</w:t>
            </w:r>
          </w:p>
        </w:tc>
      </w:tr>
    </w:tbl>
    <w:p w:rsidR="00690842" w:rsidRPr="001C50AE" w:rsidRDefault="00690842" w:rsidP="00690842">
      <w:pPr>
        <w:widowControl w:val="0"/>
        <w:rPr>
          <w:b/>
          <w:sz w:val="23"/>
          <w:szCs w:val="23"/>
        </w:rPr>
      </w:pPr>
    </w:p>
    <w:p w:rsidR="00690842" w:rsidRPr="008109CA" w:rsidRDefault="00690842" w:rsidP="00690842">
      <w:pPr>
        <w:jc w:val="both"/>
      </w:pPr>
      <w:r w:rsidRPr="007F75A6">
        <w:t>1.</w:t>
      </w:r>
      <w:r>
        <w:t>5</w:t>
      </w:r>
      <w:r w:rsidRPr="007F75A6">
        <w:t xml:space="preserve">. </w:t>
      </w:r>
      <w:r w:rsidRPr="008109CA">
        <w:t>Гарантийный ремонт Изделия осуществляется Поставщиком в период гарантийного срока.</w:t>
      </w:r>
    </w:p>
    <w:p w:rsidR="00690842" w:rsidRPr="008109CA" w:rsidRDefault="00690842" w:rsidP="00690842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</w:t>
      </w:r>
      <w:r>
        <w:t xml:space="preserve">(адреса) </w:t>
      </w:r>
      <w:r w:rsidRPr="008109CA">
        <w:t xml:space="preserve">и режим работы пункта </w:t>
      </w:r>
      <w:r>
        <w:t xml:space="preserve">(пунктов) </w:t>
      </w:r>
      <w:r w:rsidRPr="008109CA">
        <w:t>приема Получателей.</w:t>
      </w:r>
    </w:p>
    <w:p w:rsidR="00690842" w:rsidRPr="008109CA" w:rsidRDefault="00690842" w:rsidP="00690842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</w:t>
      </w:r>
      <w:r w:rsidRPr="008109CA">
        <w:t>на территории Санкт-Петербурга.</w:t>
      </w:r>
    </w:p>
    <w:p w:rsidR="00690842" w:rsidRPr="008109CA" w:rsidRDefault="00690842" w:rsidP="00690842">
      <w:pPr>
        <w:jc w:val="both"/>
      </w:pPr>
    </w:p>
    <w:p w:rsidR="00690842" w:rsidRDefault="00690842" w:rsidP="00690842">
      <w:pPr>
        <w:jc w:val="both"/>
        <w:rPr>
          <w:b/>
          <w:lang w:eastAsia="ar-SA"/>
        </w:rPr>
      </w:pPr>
    </w:p>
    <w:p w:rsidR="00690842" w:rsidRDefault="00690842" w:rsidP="00690842">
      <w:pPr>
        <w:jc w:val="both"/>
        <w:rPr>
          <w:b/>
          <w:lang w:eastAsia="ar-SA"/>
        </w:rPr>
      </w:pPr>
    </w:p>
    <w:p w:rsidR="00690842" w:rsidRDefault="00690842" w:rsidP="00690842">
      <w:pPr>
        <w:jc w:val="both"/>
        <w:rPr>
          <w:b/>
          <w:lang w:eastAsia="ar-SA"/>
        </w:rPr>
      </w:pPr>
    </w:p>
    <w:p w:rsidR="00690842" w:rsidRDefault="00690842" w:rsidP="00690842">
      <w:pPr>
        <w:jc w:val="both"/>
        <w:rPr>
          <w:b/>
          <w:lang w:eastAsia="ar-SA"/>
        </w:rPr>
      </w:pPr>
    </w:p>
    <w:p w:rsidR="00690842" w:rsidRPr="00EC5407" w:rsidRDefault="00690842" w:rsidP="00690842">
      <w:pPr>
        <w:jc w:val="both"/>
        <w:rPr>
          <w:b/>
          <w:lang w:eastAsia="ar-SA"/>
        </w:rPr>
      </w:pPr>
      <w:r w:rsidRPr="00EC5407">
        <w:rPr>
          <w:b/>
          <w:lang w:eastAsia="ar-SA"/>
        </w:rPr>
        <w:t>2. Поставщик обязан:</w:t>
      </w:r>
    </w:p>
    <w:p w:rsidR="00690842" w:rsidRPr="00EC5407" w:rsidRDefault="00690842" w:rsidP="00690842">
      <w:pPr>
        <w:jc w:val="both"/>
      </w:pPr>
      <w:r w:rsidRPr="00EC5407">
        <w:rPr>
          <w:lang w:eastAsia="ar-SA"/>
        </w:rPr>
        <w:t xml:space="preserve">2.1. Поставить </w:t>
      </w:r>
      <w:r w:rsidRPr="00EC5407">
        <w:t>Изделия</w:t>
      </w:r>
      <w:r>
        <w:t xml:space="preserve"> </w:t>
      </w:r>
      <w:r w:rsidRPr="00EC5407">
        <w:t>для Получател</w:t>
      </w:r>
      <w:r>
        <w:t>ей, имеющих действующий сертификат соответствия, выданный в соответствии с Техническим регламентом Таможенного союза «О безопасности низковольтного оборудования» (ТР ТС 004/2011) (питание устройства от сети 220 В).</w:t>
      </w:r>
    </w:p>
    <w:p w:rsidR="00690842" w:rsidRPr="00EC5407" w:rsidRDefault="00690842" w:rsidP="00690842">
      <w:pPr>
        <w:jc w:val="both"/>
      </w:pPr>
      <w:r w:rsidRPr="00EC5407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</w:t>
      </w:r>
      <w:r>
        <w:rPr>
          <w:lang w:eastAsia="ar-SA"/>
        </w:rPr>
        <w:t>и</w:t>
      </w:r>
      <w:r w:rsidRPr="00EC5407">
        <w:rPr>
          <w:lang w:eastAsia="ar-SA"/>
        </w:rPr>
        <w:t xml:space="preserve"> паспорта и направления (по форме, утвержденной приказом Министерства здравоохранения и социального развития Российской Федерации от </w:t>
      </w:r>
      <w:r w:rsidRPr="00EC5407">
        <w:rPr>
          <w:lang w:eastAsia="ar-SA"/>
        </w:rPr>
        <w:lastRenderedPageBreak/>
        <w:t>21.08.2008 № 439н),</w:t>
      </w:r>
      <w:r w:rsidRPr="00EC5407">
        <w:t xml:space="preserve"> выдаваемого Заказчиком, подписанного уполномоченным на дату выдачи направления лицом Заказчика.</w:t>
      </w:r>
    </w:p>
    <w:p w:rsidR="00690842" w:rsidRPr="00EC5407" w:rsidRDefault="00690842" w:rsidP="00690842">
      <w:pPr>
        <w:jc w:val="both"/>
      </w:pPr>
      <w:r w:rsidRPr="00EC5407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690842" w:rsidRPr="00EC5407" w:rsidRDefault="00690842" w:rsidP="00690842">
      <w:pPr>
        <w:spacing w:line="240" w:lineRule="atLeast"/>
        <w:jc w:val="both"/>
        <w:rPr>
          <w:lang w:eastAsia="ar-SA"/>
        </w:rPr>
      </w:pPr>
      <w:r w:rsidRPr="00EC5407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690842" w:rsidRPr="00EC5407" w:rsidRDefault="00690842" w:rsidP="00690842">
      <w:pPr>
        <w:suppressAutoHyphens/>
        <w:jc w:val="both"/>
        <w:rPr>
          <w:lang w:eastAsia="ar-SA"/>
        </w:rPr>
      </w:pPr>
      <w:r w:rsidRPr="00EC5407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690842" w:rsidRPr="00EC5407" w:rsidRDefault="00690842" w:rsidP="00690842">
      <w:pPr>
        <w:jc w:val="both"/>
      </w:pPr>
      <w:r w:rsidRPr="00EC5407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690842" w:rsidRPr="00EC5407" w:rsidRDefault="00690842" w:rsidP="00690842">
      <w:pPr>
        <w:widowControl w:val="0"/>
        <w:jc w:val="both"/>
        <w:rPr>
          <w:bCs/>
        </w:rPr>
      </w:pPr>
      <w:r w:rsidRPr="00EC5407">
        <w:t>2.3. Обеспечить возможность выдачи Изделий со дня, следующего за днем заключения государственного контракта.</w:t>
      </w:r>
    </w:p>
    <w:p w:rsidR="00690842" w:rsidRPr="00EC5407" w:rsidRDefault="00690842" w:rsidP="00690842">
      <w:pPr>
        <w:jc w:val="both"/>
      </w:pPr>
      <w:r w:rsidRPr="00EC5407">
        <w:t>2.4. Давать справки Получателям по вопросам, связанным с поставкой Изделий. Для звонков Получателей должен быть выделен телефонный номер</w:t>
      </w:r>
      <w:r>
        <w:t xml:space="preserve">, указанный в приложении к государственному контракту. </w:t>
      </w:r>
      <w:r w:rsidRPr="00EC5407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690842" w:rsidRPr="00EC5407" w:rsidRDefault="00690842" w:rsidP="00690842">
      <w:pPr>
        <w:jc w:val="both"/>
      </w:pPr>
      <w:r w:rsidRPr="00EC5407"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690842" w:rsidRPr="00EC5407" w:rsidRDefault="00690842" w:rsidP="00690842">
      <w:pPr>
        <w:jc w:val="both"/>
      </w:pPr>
      <w:r w:rsidRPr="00EC5407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690842" w:rsidRPr="00EC5407" w:rsidRDefault="00690842" w:rsidP="00690842">
      <w:pPr>
        <w:jc w:val="both"/>
      </w:pPr>
      <w:r w:rsidRPr="00EC5407">
        <w:t>Предоставлять Заказчику в рамках подтверждения исполнения государственного контракта журнал телефонных звонков.</w:t>
      </w:r>
    </w:p>
    <w:p w:rsidR="00690842" w:rsidRPr="00EC5407" w:rsidRDefault="00690842" w:rsidP="00690842">
      <w:pPr>
        <w:jc w:val="both"/>
      </w:pPr>
      <w:r w:rsidRPr="00EC5407">
        <w:t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</w:t>
      </w:r>
      <w:r>
        <w:t xml:space="preserve"> </w:t>
      </w:r>
    </w:p>
    <w:p w:rsidR="00690842" w:rsidRPr="00EC5407" w:rsidRDefault="00690842" w:rsidP="00690842">
      <w:pPr>
        <w:jc w:val="both"/>
      </w:pPr>
      <w:r w:rsidRPr="00EC5407">
        <w:t>2.7. Давать справки Получателям по вопросам, связанным с поставкой Изделий, в часы работы пунктов приема.</w:t>
      </w:r>
      <w:r>
        <w:t xml:space="preserve"> </w:t>
      </w:r>
    </w:p>
    <w:p w:rsidR="00690842" w:rsidRDefault="00690842" w:rsidP="00690842">
      <w:pPr>
        <w:suppressAutoHyphens/>
        <w:spacing w:line="240" w:lineRule="atLeast"/>
        <w:jc w:val="both"/>
        <w:rPr>
          <w:b/>
        </w:rPr>
      </w:pPr>
    </w:p>
    <w:p w:rsidR="00690842" w:rsidRPr="00EC5407" w:rsidRDefault="00690842" w:rsidP="00690842">
      <w:pPr>
        <w:suppressAutoHyphens/>
        <w:spacing w:line="240" w:lineRule="atLeast"/>
        <w:jc w:val="both"/>
        <w:rPr>
          <w:b/>
        </w:rPr>
      </w:pPr>
      <w:r w:rsidRPr="00EC5407">
        <w:rPr>
          <w:b/>
        </w:rPr>
        <w:t>3. Способ поставки:</w:t>
      </w:r>
    </w:p>
    <w:p w:rsidR="00690842" w:rsidRPr="00EC5407" w:rsidRDefault="00690842" w:rsidP="00690842">
      <w:pPr>
        <w:suppressAutoHyphens/>
        <w:spacing w:line="240" w:lineRule="atLeast"/>
        <w:jc w:val="both"/>
      </w:pPr>
      <w:r w:rsidRPr="00EC5407">
        <w:t xml:space="preserve">3.1. Поставщик передает Изделия Получателям следующими способами: </w:t>
      </w:r>
    </w:p>
    <w:p w:rsidR="00690842" w:rsidRPr="00EC5407" w:rsidRDefault="00690842" w:rsidP="00690842">
      <w:pPr>
        <w:suppressAutoHyphens/>
        <w:spacing w:line="240" w:lineRule="atLeast"/>
        <w:jc w:val="both"/>
      </w:pPr>
      <w:r w:rsidRPr="00EC5407">
        <w:t xml:space="preserve">- по месту нахождения </w:t>
      </w:r>
      <w:r>
        <w:t>пункта (пунктов) приема, организованных</w:t>
      </w:r>
      <w:r w:rsidRPr="00EC5407">
        <w:t xml:space="preserve"> Поставщиком, в день обращения Получателя,</w:t>
      </w:r>
    </w:p>
    <w:p w:rsidR="00690842" w:rsidRPr="00EC5407" w:rsidRDefault="00690842" w:rsidP="00690842">
      <w:pPr>
        <w:suppressAutoHyphens/>
        <w:spacing w:line="240" w:lineRule="atLeast"/>
        <w:jc w:val="both"/>
      </w:pPr>
      <w:r w:rsidRPr="00EC5407">
        <w:t xml:space="preserve">- по месту нахождения Получателя. </w:t>
      </w:r>
    </w:p>
    <w:p w:rsidR="00690842" w:rsidRPr="00EC5407" w:rsidRDefault="00690842" w:rsidP="00690842">
      <w:pPr>
        <w:suppressAutoHyphens/>
        <w:spacing w:line="240" w:lineRule="atLeast"/>
        <w:jc w:val="both"/>
      </w:pPr>
      <w:r w:rsidRPr="00EC5407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(пунктов) приема).</w:t>
      </w:r>
    </w:p>
    <w:p w:rsidR="00690842" w:rsidRDefault="00690842" w:rsidP="00690842">
      <w:pPr>
        <w:suppressAutoHyphens/>
        <w:spacing w:line="240" w:lineRule="atLeast"/>
        <w:jc w:val="both"/>
      </w:pPr>
      <w:r w:rsidRPr="00EC5407">
        <w:t>3.2.1. Пункт</w:t>
      </w:r>
      <w:r>
        <w:t>ы</w:t>
      </w:r>
      <w:r w:rsidRPr="00EC5407">
        <w:t xml:space="preserve"> приема должны быть организован</w:t>
      </w:r>
      <w:r>
        <w:t>ы</w:t>
      </w:r>
      <w:r w:rsidRPr="00EC5407">
        <w:t xml:space="preserve"> </w:t>
      </w:r>
      <w:r>
        <w:t>на момент</w:t>
      </w:r>
      <w:r w:rsidRPr="00EC5407">
        <w:t xml:space="preserve">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государственного контракта, Поставщик передает Заказчику документы, подтверждающие право Поставщика использовать   помещени</w:t>
      </w:r>
      <w:r>
        <w:t>я пункта</w:t>
      </w:r>
      <w:r w:rsidRPr="00EC5407">
        <w:t xml:space="preserve"> </w:t>
      </w:r>
      <w:r>
        <w:t>(пунктов)</w:t>
      </w:r>
      <w:r w:rsidRPr="00EC5407">
        <w:t xml:space="preserve"> выдачи</w:t>
      </w:r>
      <w:r>
        <w:t>. А</w:t>
      </w:r>
      <w:r w:rsidRPr="00EC5407">
        <w:t>дрес</w:t>
      </w:r>
      <w:r>
        <w:t>а</w:t>
      </w:r>
      <w:r w:rsidRPr="00EC5407">
        <w:t xml:space="preserve"> и график работы</w:t>
      </w:r>
      <w:r>
        <w:t xml:space="preserve"> пункта (пунктов) должны быть указаны в приложении к государственному контракт. </w:t>
      </w:r>
    </w:p>
    <w:p w:rsidR="00690842" w:rsidRPr="00EC5407" w:rsidRDefault="00690842" w:rsidP="00690842">
      <w:pPr>
        <w:suppressAutoHyphens/>
        <w:spacing w:line="240" w:lineRule="atLeast"/>
        <w:jc w:val="both"/>
      </w:pPr>
      <w:r w:rsidRPr="007F2DCB">
        <w:lastRenderedPageBreak/>
        <w:t xml:space="preserve">Количество пунктов приема – не менее </w:t>
      </w:r>
      <w:r>
        <w:t>1</w:t>
      </w:r>
      <w:r w:rsidRPr="007F2DCB">
        <w:t xml:space="preserve"> (</w:t>
      </w:r>
      <w:r>
        <w:t>одного</w:t>
      </w:r>
      <w:r w:rsidRPr="007F2DCB">
        <w:t xml:space="preserve">). </w:t>
      </w:r>
      <w:r w:rsidRPr="00056CCE">
        <w:t>При</w:t>
      </w:r>
      <w:r w:rsidRPr="007F2DCB">
        <w:t xml:space="preserve"> этом </w:t>
      </w:r>
      <w:r>
        <w:t xml:space="preserve">не менее чем один </w:t>
      </w:r>
      <w:r w:rsidRPr="007F2DCB">
        <w:t xml:space="preserve">пункт приема получателей должен быть организован на территории Санкт-Петербурга на расстоянии </w:t>
      </w:r>
      <w:r>
        <w:t xml:space="preserve">шаговой доступности для получателей </w:t>
      </w:r>
      <w:r w:rsidRPr="007F2DCB">
        <w:t>от станции метрополитена</w:t>
      </w:r>
      <w:r>
        <w:t xml:space="preserve"> (п</w:t>
      </w:r>
      <w:r w:rsidRPr="00D140C4">
        <w:t xml:space="preserve">од </w:t>
      </w:r>
      <w:r>
        <w:t>шаговой</w:t>
      </w:r>
      <w:r w:rsidRPr="00D140C4">
        <w:t xml:space="preserve"> доступностью, в силу п.11.24. СП 42.13330.2016. Свод правил. Градостроительство. Планировка и застройка городских и сельских поселений. Актуализированная редакция СНиП 2.07.01-89 принимается расстояние в 500 метров</w:t>
      </w:r>
      <w:r>
        <w:t>)</w:t>
      </w:r>
      <w:r w:rsidRPr="00D140C4">
        <w:t>.</w:t>
      </w:r>
      <w:r w:rsidRPr="001C7450">
        <w:t xml:space="preserve"> </w:t>
      </w:r>
      <w:r w:rsidRPr="00D140C4">
        <w:t xml:space="preserve"> </w:t>
      </w:r>
    </w:p>
    <w:p w:rsidR="00690842" w:rsidRPr="00EC5407" w:rsidRDefault="00690842" w:rsidP="00690842">
      <w:pPr>
        <w:suppressAutoHyphens/>
        <w:spacing w:line="240" w:lineRule="atLeast"/>
        <w:jc w:val="both"/>
      </w:pPr>
      <w:r w:rsidRPr="00EC5407">
        <w:t>Максимальное время ожидания Получателей в очереди не должно превышать 15 минут.</w:t>
      </w:r>
    </w:p>
    <w:p w:rsidR="00690842" w:rsidRPr="00EC5407" w:rsidRDefault="00690842" w:rsidP="00690842">
      <w:pPr>
        <w:suppressAutoHyphens/>
        <w:spacing w:line="240" w:lineRule="atLeast"/>
        <w:jc w:val="both"/>
      </w:pPr>
      <w:r w:rsidRPr="00EC5407">
        <w:t>3.2.2. 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690842" w:rsidRPr="00EC5407" w:rsidRDefault="00690842" w:rsidP="00690842">
      <w:pPr>
        <w:spacing w:line="240" w:lineRule="atLeast"/>
        <w:jc w:val="both"/>
      </w:pPr>
      <w:r w:rsidRPr="00EC5407">
        <w:t>Проход в пункт (пункты) приема и передвижение по ним должны быть беспрепятственны для инвалидов (в случае необходимости, пункт</w:t>
      </w:r>
      <w:r>
        <w:t>ы приема долж</w:t>
      </w:r>
      <w:r w:rsidRPr="00EC5407">
        <w:t>н</w:t>
      </w:r>
      <w:r>
        <w:t>ы</w:t>
      </w:r>
      <w:r w:rsidRPr="00EC5407">
        <w:t xml:space="preserve"> быть оборудован</w:t>
      </w:r>
      <w:r>
        <w:t>ы</w:t>
      </w:r>
      <w:r w:rsidRPr="00EC5407">
        <w:t xml:space="preserve"> пандусами или иными приспособлениями для облегчения передвижения инвалидов). Пункт</w:t>
      </w:r>
      <w:r>
        <w:t>ы</w:t>
      </w:r>
      <w:r w:rsidRPr="00EC5407">
        <w:t xml:space="preserve"> приема должны иметь туалетные комнаты, оборудованные для посещения инвалидами, со свободным доступом Получателей.</w:t>
      </w:r>
    </w:p>
    <w:p w:rsidR="00690842" w:rsidRPr="00EC5407" w:rsidRDefault="00690842" w:rsidP="00690842">
      <w:pPr>
        <w:jc w:val="both"/>
      </w:pPr>
      <w:r w:rsidRPr="00EC5407">
        <w:t>3.2.3. В случае выбора Получателем способа получения Изделия по месту нахождения пункта (пунктов) приема, организованного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690842" w:rsidRPr="00EC5407" w:rsidRDefault="00690842" w:rsidP="00690842">
      <w:pPr>
        <w:jc w:val="both"/>
      </w:pPr>
      <w:r w:rsidRPr="00EC5407">
        <w:t xml:space="preserve">3.2.4. Передача Изделий Получателям должна производиться в </w:t>
      </w:r>
      <w:r>
        <w:t xml:space="preserve">каждом из </w:t>
      </w:r>
      <w:r w:rsidRPr="00EC5407">
        <w:t>пункт</w:t>
      </w:r>
      <w:r>
        <w:t>ов</w:t>
      </w:r>
      <w:r w:rsidRPr="00EC5407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690842" w:rsidRPr="00EC5407" w:rsidRDefault="00690842" w:rsidP="00690842">
      <w:pPr>
        <w:spacing w:line="240" w:lineRule="atLeast"/>
        <w:jc w:val="both"/>
      </w:pPr>
      <w:r w:rsidRPr="00EC5407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690842" w:rsidRPr="00EC5407" w:rsidRDefault="00690842" w:rsidP="00690842">
      <w:pPr>
        <w:jc w:val="both"/>
      </w:pPr>
      <w:r w:rsidRPr="00EC5407"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690842" w:rsidRDefault="00690842" w:rsidP="00690842">
      <w:pPr>
        <w:jc w:val="both"/>
      </w:pPr>
    </w:p>
    <w:p w:rsidR="00690842" w:rsidRPr="00EC5407" w:rsidRDefault="00690842" w:rsidP="00690842">
      <w:pPr>
        <w:jc w:val="both"/>
      </w:pPr>
      <w:r w:rsidRPr="00EC5407">
        <w:t xml:space="preserve">4. Заказчик вправе произвести выборочную проверку Изделий и соответствия </w:t>
      </w:r>
      <w:r>
        <w:t>пункта (</w:t>
      </w:r>
      <w:r w:rsidRPr="00EC5407">
        <w:t>пунктов</w:t>
      </w:r>
      <w:r>
        <w:t>)</w:t>
      </w:r>
      <w:r w:rsidRPr="00EC5407">
        <w:t xml:space="preserve"> приема требованиям государственного контракта начиная со дня, следующего за днем заключения контракта.</w:t>
      </w:r>
    </w:p>
    <w:p w:rsidR="00690842" w:rsidRPr="00EC5407" w:rsidRDefault="00690842" w:rsidP="00690842">
      <w:pPr>
        <w:jc w:val="both"/>
      </w:pPr>
      <w:r w:rsidRPr="00EC5407">
        <w:t>При проведении выборочной проверки Заказчик вправе осуществлять видеозапись.</w:t>
      </w:r>
    </w:p>
    <w:p w:rsidR="00690842" w:rsidRDefault="00690842" w:rsidP="00690842">
      <w:pPr>
        <w:widowControl w:val="0"/>
        <w:jc w:val="both"/>
        <w:rPr>
          <w:b/>
          <w:sz w:val="23"/>
          <w:szCs w:val="23"/>
        </w:rPr>
      </w:pPr>
      <w:r>
        <w:t>В день, следующий за днем заключения контракта, на пунктах приема должно находиться не менее 10</w:t>
      </w:r>
      <w:r w:rsidRPr="00B51A6F">
        <w:t>% от</w:t>
      </w:r>
      <w:r>
        <w:t xml:space="preserve"> общего количества товара, предусмотренного контрактом. 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052AF9" w:rsidRDefault="00052AF9"/>
    <w:sectPr w:rsidR="0005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84" w:rsidRDefault="00412184" w:rsidP="00690842">
      <w:r>
        <w:separator/>
      </w:r>
    </w:p>
  </w:endnote>
  <w:endnote w:type="continuationSeparator" w:id="0">
    <w:p w:rsidR="00412184" w:rsidRDefault="00412184" w:rsidP="0069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84" w:rsidRDefault="00412184" w:rsidP="00690842">
      <w:r>
        <w:separator/>
      </w:r>
    </w:p>
  </w:footnote>
  <w:footnote w:type="continuationSeparator" w:id="0">
    <w:p w:rsidR="00412184" w:rsidRDefault="00412184" w:rsidP="00690842">
      <w:r>
        <w:continuationSeparator/>
      </w:r>
    </w:p>
  </w:footnote>
  <w:footnote w:id="1">
    <w:p w:rsidR="00690842" w:rsidRPr="004D2FEC" w:rsidRDefault="00690842" w:rsidP="0069084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690842" w:rsidRDefault="00690842" w:rsidP="00690842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42"/>
    <w:rsid w:val="00052AF9"/>
    <w:rsid w:val="00412184"/>
    <w:rsid w:val="00502D70"/>
    <w:rsid w:val="00656C47"/>
    <w:rsid w:val="00690842"/>
    <w:rsid w:val="008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7700-6D3E-4DFE-AE43-C560DCE8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9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0842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rsid w:val="0069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Родион Свиридов</cp:lastModifiedBy>
  <cp:revision>3</cp:revision>
  <dcterms:created xsi:type="dcterms:W3CDTF">2019-08-09T08:30:00Z</dcterms:created>
  <dcterms:modified xsi:type="dcterms:W3CDTF">2019-08-12T08:19:00Z</dcterms:modified>
</cp:coreProperties>
</file>