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E9" w:rsidRPr="001843CA" w:rsidRDefault="007503E9" w:rsidP="007503E9">
      <w:pPr>
        <w:jc w:val="center"/>
        <w:rPr>
          <w:b/>
        </w:rPr>
      </w:pPr>
      <w:bookmarkStart w:id="0" w:name="_GoBack"/>
      <w:bookmarkEnd w:id="0"/>
    </w:p>
    <w:p w:rsidR="00F832B3" w:rsidRDefault="00F832B3" w:rsidP="00F832B3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F832B3" w:rsidRDefault="00F832B3" w:rsidP="00F832B3">
      <w:pPr>
        <w:jc w:val="center"/>
        <w:rPr>
          <w:rFonts w:ascii="Tahoma" w:hAnsi="Tahoma" w:cs="Tahoma"/>
          <w:sz w:val="21"/>
          <w:szCs w:val="21"/>
        </w:rPr>
      </w:pPr>
      <w:r w:rsidRPr="00606FD4">
        <w:rPr>
          <w:b/>
        </w:rPr>
        <w:t xml:space="preserve">на </w:t>
      </w:r>
      <w:r w:rsidRPr="00542BE7">
        <w:rPr>
          <w:b/>
        </w:rPr>
        <w:t xml:space="preserve">поставку </w:t>
      </w:r>
      <w:r w:rsidRPr="0032610C">
        <w:rPr>
          <w:b/>
        </w:rPr>
        <w:t>инвалидам в 2019 году технических средств реабилитации, а именно специальных средств при нарушениях функций выделения (мочеприемники)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F832B3" w:rsidRPr="001843CA" w:rsidRDefault="00F832B3" w:rsidP="00F832B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860" w:type="dxa"/>
        <w:tblInd w:w="-283" w:type="dxa"/>
        <w:tblLayout w:type="fixed"/>
        <w:tblLook w:val="01E0" w:firstRow="1" w:lastRow="1" w:firstColumn="1" w:lastColumn="1" w:noHBand="0" w:noVBand="0"/>
      </w:tblPr>
      <w:tblGrid>
        <w:gridCol w:w="9781"/>
        <w:gridCol w:w="79"/>
      </w:tblGrid>
      <w:tr w:rsidR="00F832B3" w:rsidTr="007914F5">
        <w:tc>
          <w:tcPr>
            <w:tcW w:w="9860" w:type="dxa"/>
            <w:gridSpan w:val="2"/>
            <w:hideMark/>
          </w:tcPr>
          <w:p w:rsidR="00F832B3" w:rsidRDefault="00F832B3" w:rsidP="007914F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Наименование объекта закупки</w:t>
            </w:r>
            <w:r>
              <w:rPr>
                <w:sz w:val="22"/>
                <w:szCs w:val="22"/>
                <w:lang w:eastAsia="en-US"/>
              </w:rPr>
              <w:t>: Поставка инвалидам в 2019 году технических средств реабилитации, а именно специальных средств при нарушениях функций выделения (мочеприемники).</w:t>
            </w:r>
          </w:p>
        </w:tc>
      </w:tr>
      <w:tr w:rsidR="00F832B3" w:rsidTr="007914F5">
        <w:tc>
          <w:tcPr>
            <w:tcW w:w="9860" w:type="dxa"/>
            <w:gridSpan w:val="2"/>
            <w:hideMark/>
          </w:tcPr>
          <w:p w:rsidR="00F832B3" w:rsidRDefault="00F832B3" w:rsidP="007914F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Способ определения:</w:t>
            </w:r>
            <w:r>
              <w:rPr>
                <w:sz w:val="22"/>
                <w:szCs w:val="22"/>
                <w:lang w:eastAsia="en-US"/>
              </w:rPr>
              <w:t xml:space="preserve"> электронный аукцион.</w:t>
            </w:r>
          </w:p>
        </w:tc>
      </w:tr>
      <w:tr w:rsidR="00F832B3" w:rsidTr="007914F5">
        <w:tc>
          <w:tcPr>
            <w:tcW w:w="9860" w:type="dxa"/>
            <w:gridSpan w:val="2"/>
            <w:hideMark/>
          </w:tcPr>
          <w:p w:rsidR="00F832B3" w:rsidRDefault="00F832B3" w:rsidP="007914F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Источник финансирования:</w:t>
            </w:r>
            <w:r>
              <w:rPr>
                <w:sz w:val="22"/>
                <w:szCs w:val="22"/>
                <w:lang w:eastAsia="en-US"/>
              </w:rPr>
              <w:t xml:space="preserve"> средства федерального бюджета, перечисленные Фонду социального страхования Российской Федерации на обеспечение инвалидов техническими средствами реабилитации.</w:t>
            </w:r>
          </w:p>
          <w:p w:rsidR="00F832B3" w:rsidRDefault="00F832B3" w:rsidP="007914F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Начальная (максимальная) цена Контракта</w:t>
            </w:r>
            <w:r>
              <w:rPr>
                <w:sz w:val="22"/>
                <w:szCs w:val="22"/>
                <w:lang w:eastAsia="en-US"/>
              </w:rPr>
              <w:t xml:space="preserve">: - </w:t>
            </w:r>
            <w:r>
              <w:rPr>
                <w:b/>
                <w:sz w:val="22"/>
                <w:szCs w:val="22"/>
                <w:lang w:eastAsia="en-US"/>
              </w:rPr>
              <w:t>3 072 007 рублей 64 копейки</w:t>
            </w:r>
            <w:r>
              <w:rPr>
                <w:b/>
                <w:sz w:val="22"/>
                <w:szCs w:val="22"/>
                <w:lang w:eastAsia="zh-CN"/>
              </w:rPr>
              <w:t>.</w:t>
            </w:r>
          </w:p>
        </w:tc>
      </w:tr>
      <w:tr w:rsidR="00F832B3" w:rsidTr="007914F5">
        <w:tc>
          <w:tcPr>
            <w:tcW w:w="9860" w:type="dxa"/>
            <w:gridSpan w:val="2"/>
            <w:hideMark/>
          </w:tcPr>
          <w:p w:rsidR="00F832B3" w:rsidRPr="00050799" w:rsidRDefault="00F832B3" w:rsidP="007914F5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 w:rsidRPr="00050799">
              <w:rPr>
                <w:rStyle w:val="FontStyle19"/>
                <w:rFonts w:eastAsiaTheme="majorEastAsia"/>
                <w:sz w:val="22"/>
                <w:szCs w:val="22"/>
                <w:u w:val="single"/>
                <w:lang w:eastAsia="en-US"/>
              </w:rPr>
              <w:t>Объём п</w:t>
            </w:r>
            <w:r w:rsidRPr="00050799">
              <w:rPr>
                <w:sz w:val="22"/>
                <w:szCs w:val="22"/>
                <w:u w:val="single"/>
                <w:lang w:eastAsia="en-US"/>
              </w:rPr>
              <w:t>оставки технических средств реабилитации</w:t>
            </w:r>
            <w:r w:rsidRPr="00050799">
              <w:rPr>
                <w:rStyle w:val="FontStyle19"/>
                <w:rFonts w:eastAsiaTheme="majorEastAsia"/>
                <w:sz w:val="22"/>
                <w:szCs w:val="22"/>
                <w:u w:val="single"/>
                <w:lang w:eastAsia="en-US"/>
              </w:rPr>
              <w:t>:</w:t>
            </w:r>
            <w:r w:rsidRPr="00050799">
              <w:rPr>
                <w:rStyle w:val="FontStyle19"/>
                <w:rFonts w:eastAsiaTheme="majorEastAsia"/>
                <w:sz w:val="22"/>
                <w:szCs w:val="22"/>
                <w:lang w:eastAsia="en-US"/>
              </w:rPr>
              <w:t xml:space="preserve"> Общее количество –</w:t>
            </w:r>
            <w:r w:rsidRPr="00050799">
              <w:rPr>
                <w:sz w:val="22"/>
                <w:szCs w:val="22"/>
                <w:lang w:eastAsia="en-US"/>
              </w:rPr>
              <w:t xml:space="preserve"> </w:t>
            </w:r>
            <w:r w:rsidRPr="00050799">
              <w:rPr>
                <w:b/>
                <w:sz w:val="22"/>
                <w:szCs w:val="22"/>
                <w:lang w:eastAsia="en-US"/>
              </w:rPr>
              <w:t>41951 шт.</w:t>
            </w:r>
            <w:r w:rsidRPr="00050799">
              <w:rPr>
                <w:sz w:val="22"/>
                <w:szCs w:val="22"/>
                <w:lang w:eastAsia="en-US"/>
              </w:rPr>
              <w:t xml:space="preserve">           </w:t>
            </w:r>
          </w:p>
        </w:tc>
      </w:tr>
      <w:tr w:rsidR="00F832B3" w:rsidTr="007914F5">
        <w:tc>
          <w:tcPr>
            <w:tcW w:w="9860" w:type="dxa"/>
            <w:gridSpan w:val="2"/>
            <w:hideMark/>
          </w:tcPr>
          <w:p w:rsidR="00F832B3" w:rsidRPr="00050799" w:rsidRDefault="00F832B3" w:rsidP="007914F5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rStyle w:val="FontStyle19"/>
                <w:rFonts w:eastAsiaTheme="majorEastAsia"/>
                <w:sz w:val="22"/>
                <w:szCs w:val="22"/>
              </w:rPr>
            </w:pPr>
            <w:r w:rsidRPr="00050799">
              <w:rPr>
                <w:rStyle w:val="FontStyle19"/>
                <w:rFonts w:eastAsiaTheme="majorEastAsia"/>
                <w:sz w:val="22"/>
                <w:szCs w:val="22"/>
                <w:u w:val="single"/>
                <w:lang w:eastAsia="en-US"/>
              </w:rPr>
              <w:t>Технические и количественные характеристики</w:t>
            </w:r>
            <w:r w:rsidRPr="00050799">
              <w:rPr>
                <w:rStyle w:val="FontStyle19"/>
                <w:rFonts w:eastAsiaTheme="majorEastAsia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F832B3" w:rsidTr="007914F5">
        <w:trPr>
          <w:trHeight w:val="9923"/>
        </w:trPr>
        <w:tc>
          <w:tcPr>
            <w:tcW w:w="9860" w:type="dxa"/>
            <w:gridSpan w:val="2"/>
          </w:tcPr>
          <w:p w:rsidR="00F832B3" w:rsidRPr="00050799" w:rsidRDefault="00F832B3" w:rsidP="007914F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42"/>
            </w:pPr>
            <w:r w:rsidRPr="00050799">
              <w:t>В связи с тем, что в каталоге товаров, работ, услуг (далее КТРУ) указаны наименования закупаемых заказчиком технических средств реабилитации, не совпадающие с наименованиями ТСР, утвержденных Приказом Минтруда России от 13.02.2018 №86н, при этом в КТРУ отсутствует их описание, а также в связи с тем, что функционал ЕИС не позволяет при загрузке с помощью функционала ЕИС из КТРУ наименования закупаемых товаров ввести информацию о функциональных, технических и качественных характеристиках товара, позволяющих идентифицировать объект закупки с учетом положений ст. 33 Закона о контрактной системе, заказчиком вручную внесена информация о наименовании закупаемых товаров, а так же информация о функциональных, технических и качественных характеристиках закупаемых товаров, позволяющая идентифицировать закупаемые товары с учетом положений ст. 33 Закона о контрактной системе. При этом наименование закупаемых товаров указано в соответствии с каталогом. Дополнительная информация и дополнительные характеристики указаны заказчиком в связи с отсутствием в КТРУ описания объекта закупки и в целях определения соответствия закупаемых товаров, работ, услуг потребностям заказчика для обеспечения инвалидов техническими средствами реабилитации.</w:t>
            </w:r>
          </w:p>
          <w:tbl>
            <w:tblPr>
              <w:tblpPr w:leftFromText="180" w:rightFromText="180" w:bottomFromText="160" w:vertAnchor="text" w:horzAnchor="margin" w:tblpX="-44" w:tblpY="125"/>
              <w:tblW w:w="963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1E0" w:firstRow="1" w:lastRow="1" w:firstColumn="1" w:lastColumn="1" w:noHBand="0" w:noVBand="0"/>
            </w:tblPr>
            <w:tblGrid>
              <w:gridCol w:w="13"/>
              <w:gridCol w:w="1683"/>
              <w:gridCol w:w="1560"/>
              <w:gridCol w:w="5529"/>
              <w:gridCol w:w="849"/>
            </w:tblGrid>
            <w:tr w:rsidR="00F832B3" w:rsidRPr="00E212EF" w:rsidTr="007914F5">
              <w:trPr>
                <w:gridBefore w:val="1"/>
                <w:wBefore w:w="13" w:type="dxa"/>
                <w:trHeight w:val="932"/>
              </w:trPr>
              <w:tc>
                <w:tcPr>
                  <w:tcW w:w="1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u w:val="single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Наименование товара по КТРУ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u w:val="single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Наименование</w:t>
                  </w:r>
                  <w:r w:rsidRPr="00E212EF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Согласно Приказу Министерства труда и соц. защиты РФ от 13.02.2018г № 86н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Общие характеристики</w:t>
                  </w:r>
                </w:p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u w:val="single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товара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Кол-во</w:t>
                  </w:r>
                </w:p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шт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F832B3" w:rsidRPr="00E212EF" w:rsidTr="007914F5">
              <w:trPr>
                <w:gridBefore w:val="1"/>
                <w:wBefore w:w="13" w:type="dxa"/>
                <w:trHeight w:val="932"/>
              </w:trPr>
              <w:tc>
                <w:tcPr>
                  <w:tcW w:w="1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32B3" w:rsidRPr="00E212EF" w:rsidRDefault="00F832B3" w:rsidP="007914F5">
                  <w:pPr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zh-CN"/>
                    </w:rPr>
                    <w:t xml:space="preserve">Катетер для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zh-CN"/>
                    </w:rPr>
                    <w:t>эпицистостомы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21-01-24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Катетеры для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эпицистостомы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должны быть разных размеров в соответствии с потребностью инвалидов, катетер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Фолея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. </w:t>
                  </w:r>
                </w:p>
                <w:p w:rsidR="00F832B3" w:rsidRPr="00E212EF" w:rsidRDefault="00F832B3" w:rsidP="007914F5">
                  <w:pPr>
                    <w:ind w:firstLine="11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Катетер для отведения мочи. Материал – латекс, покрытый слоем силикона. Трубка должна быть с усиленной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неперекручивающейся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стенкой со слепым концом - с одной стороны и воронкообразным расширением - с другой. Сбоку на дистальном конце катетера -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цветомаркированный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порт с «внутренним протектором» в виде концентрических колец и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нипельным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клапаном. Дистальный конец маркирован значениями объема баллона, размера и материала, из которого изготовлен катетер, максимального объема заполнения баллона, компании - производителя.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firstLine="11"/>
                    <w:jc w:val="both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На проксимальном конце катетера - прочный и симметричный баллон. Длина не менее 20 см.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1910</w:t>
                  </w:r>
                </w:p>
              </w:tc>
            </w:tr>
            <w:tr w:rsidR="00F832B3" w:rsidRPr="00E212EF" w:rsidTr="007914F5">
              <w:trPr>
                <w:gridBefore w:val="1"/>
                <w:wBefore w:w="13" w:type="dxa"/>
                <w:trHeight w:val="932"/>
              </w:trPr>
              <w:tc>
                <w:tcPr>
                  <w:tcW w:w="1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zh-CN"/>
                    </w:rPr>
                    <w:t>32.50.13.190-00006894:</w:t>
                  </w:r>
                </w:p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zh-CN"/>
                    </w:rPr>
                    <w:t>Катетер уретральный для однократного дренирования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zh-CN"/>
                    </w:rPr>
                    <w:t xml:space="preserve">Катетер для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zh-CN"/>
                    </w:rPr>
                    <w:t>самокатетеризации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zh-CN"/>
                    </w:rPr>
                    <w:t>лубрицированный</w:t>
                  </w:r>
                  <w:proofErr w:type="spellEnd"/>
                </w:p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21-01-20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firstLine="11"/>
                    <w:jc w:val="both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</w:rPr>
                    <w:t xml:space="preserve">Катетеры для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</w:rPr>
                    <w:t>самокатетеризации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</w:rPr>
                    <w:t>лубрицированные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</w:rPr>
                    <w:t xml:space="preserve"> (мужские, женские, детские) должны быть разных размеров в соответствии с потребностью инвалидов. Катетер должен быть изготовлен из высококачественного поливинилхлорида (ПВХ), покрытого гидрофильным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</w:rPr>
                    <w:t>лубрикантом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</w:rPr>
                    <w:t xml:space="preserve">, требующего/ не требующего активации. Длина не менее 10 см не более 45 см. Наконечник катетера прямой цилиндрический, с двумя боковыми отверстиями с отполированными и покрытыми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</w:rPr>
                    <w:t>лубрикантом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</w:rPr>
                    <w:t xml:space="preserve"> краями. Катетер должен быть стерилен и находится в индивидуальной упаковке.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12420</w:t>
                  </w:r>
                </w:p>
              </w:tc>
            </w:tr>
            <w:tr w:rsidR="00F832B3" w:rsidRPr="00E212EF" w:rsidTr="007914F5">
              <w:trPr>
                <w:gridBefore w:val="1"/>
                <w:wBefore w:w="13" w:type="dxa"/>
                <w:trHeight w:val="932"/>
              </w:trPr>
              <w:tc>
                <w:tcPr>
                  <w:tcW w:w="1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32B3" w:rsidRPr="00E212EF" w:rsidRDefault="00F832B3" w:rsidP="007914F5">
                  <w:pPr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zh-CN"/>
                    </w:rPr>
                    <w:t xml:space="preserve">Система (с катетером) для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zh-CN"/>
                    </w:rPr>
                    <w:t>нефростомии</w:t>
                  </w:r>
                  <w:proofErr w:type="spellEnd"/>
                </w:p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21-01-25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Катетер должен быть разных размеров в соответствии с потребностью инвалидов. </w:t>
                  </w:r>
                </w:p>
                <w:p w:rsidR="00F832B3" w:rsidRPr="00E212EF" w:rsidRDefault="00F832B3" w:rsidP="007914F5">
                  <w:pPr>
                    <w:ind w:firstLine="11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Устройство для дренирования верхних мочевых путей,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однопетлевой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мочеточниковый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стент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, в наборе с толкателем, зажимом, с подвижным проводником и пункционной иглой.  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E212EF">
                    <w:rPr>
                      <w:sz w:val="18"/>
                      <w:szCs w:val="18"/>
                      <w:lang w:eastAsia="en-US"/>
                    </w:rPr>
                    <w:t>Катетер  должен</w:t>
                  </w:r>
                  <w:proofErr w:type="gram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быть стерилен и находится в индивидуальной упаковке. 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both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Длина не менее 30 см.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F832B3" w:rsidRPr="00E212EF" w:rsidTr="007914F5">
              <w:trPr>
                <w:gridBefore w:val="1"/>
                <w:wBefore w:w="13" w:type="dxa"/>
                <w:trHeight w:val="2967"/>
              </w:trPr>
              <w:tc>
                <w:tcPr>
                  <w:tcW w:w="1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color w:val="000000"/>
                      <w:sz w:val="18"/>
                      <w:szCs w:val="18"/>
                      <w:lang w:eastAsia="en-US"/>
                    </w:rPr>
                    <w:t>32.50.13.190-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color w:val="000000"/>
                      <w:sz w:val="18"/>
                      <w:szCs w:val="18"/>
                      <w:lang w:eastAsia="en-US"/>
                    </w:rPr>
                    <w:t>00006893: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color w:val="000000"/>
                      <w:sz w:val="18"/>
                      <w:szCs w:val="18"/>
                      <w:lang w:eastAsia="en-US"/>
                    </w:rPr>
                    <w:t>Катетер уретральный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постоянный для дренажа/промывания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color w:val="000000"/>
                      <w:sz w:val="18"/>
                      <w:szCs w:val="18"/>
                      <w:lang w:eastAsia="en-US"/>
                    </w:rPr>
                    <w:t>Катетер уретральный длительного пользования</w:t>
                  </w:r>
                </w:p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color w:val="000000"/>
                      <w:sz w:val="18"/>
                      <w:szCs w:val="18"/>
                      <w:lang w:eastAsia="en-US"/>
                    </w:rPr>
                    <w:t>21-01-22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32B3" w:rsidRPr="00E212EF" w:rsidRDefault="00F832B3" w:rsidP="007914F5">
                  <w:pPr>
                    <w:ind w:firstLine="11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Катетеры уретральные длительного пользования должны быть разных размеров в соответствии с потребностью инвалидов, в том числе катетеры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Фолея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. Мужские и женские катетеры. </w:t>
                  </w:r>
                </w:p>
                <w:p w:rsidR="00F832B3" w:rsidRPr="00E212EF" w:rsidRDefault="00F832B3" w:rsidP="007914F5">
                  <w:pPr>
                    <w:ind w:firstLine="11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Катетер для длительной катетеризации мочевого пузыря. Материал – латекс, покрытый слоем силикона. Катетер </w:t>
                  </w:r>
                  <w:proofErr w:type="gramStart"/>
                  <w:r w:rsidRPr="00E212EF">
                    <w:rPr>
                      <w:sz w:val="18"/>
                      <w:szCs w:val="18"/>
                      <w:lang w:eastAsia="en-US"/>
                    </w:rPr>
                    <w:t>должен  иметь</w:t>
                  </w:r>
                  <w:proofErr w:type="gram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плавный переход от баллона к стержню. Катетер должен быть стерилен и находится в индивидуальной упаковке с вертикальными насечками по обеим сторонам внутренней упаковки для освобождения проксимального и дистального концов катетера.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both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Длина не менее 20 см.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110</w:t>
                  </w:r>
                </w:p>
              </w:tc>
            </w:tr>
            <w:tr w:rsidR="00F832B3" w:rsidRPr="00E212EF" w:rsidTr="007914F5">
              <w:trPr>
                <w:gridBefore w:val="1"/>
                <w:wBefore w:w="13" w:type="dxa"/>
                <w:trHeight w:val="932"/>
              </w:trPr>
              <w:tc>
                <w:tcPr>
                  <w:tcW w:w="1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color w:val="000000"/>
                      <w:sz w:val="18"/>
                      <w:szCs w:val="18"/>
                      <w:lang w:eastAsia="en-US"/>
                    </w:rPr>
                    <w:t>32.50.13.190-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color w:val="000000"/>
                      <w:sz w:val="18"/>
                      <w:szCs w:val="18"/>
                      <w:lang w:eastAsia="en-US"/>
                    </w:rPr>
                    <w:t>00006892: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Катетер уретральный постоянный для дренажа 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        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color w:val="000000"/>
                      <w:sz w:val="18"/>
                      <w:szCs w:val="18"/>
                      <w:lang w:eastAsia="en-US"/>
                    </w:rPr>
                    <w:t>Катетер уретральный постоянного пользования</w:t>
                  </w:r>
                </w:p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color w:val="000000"/>
                      <w:sz w:val="18"/>
                      <w:szCs w:val="18"/>
                      <w:lang w:eastAsia="en-US"/>
                    </w:rPr>
                    <w:t>21-01-23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Катетеры уретральные постоянного пользования должны быть разных размеров в соответствии с потребностью инвалидов. У катетера грибовидный закрытый дистальный конец, стандартный коннектор обеспечивает качественное соединение катетера с любым типом мочеприемника. Катетер должен быть оптимально жестким для быстрой катетеризации, после установки размягчается под воздействием температуры окружающих тканей. Катетер должен быть стерилен и находится в индивидуальной упаковке Длина не менее 20 см.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24</w:t>
                  </w:r>
                </w:p>
              </w:tc>
            </w:tr>
            <w:tr w:rsidR="00F832B3" w:rsidRPr="00E212EF" w:rsidTr="007914F5">
              <w:trPr>
                <w:gridBefore w:val="1"/>
                <w:wBefore w:w="13" w:type="dxa"/>
                <w:trHeight w:val="932"/>
              </w:trPr>
              <w:tc>
                <w:tcPr>
                  <w:tcW w:w="1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32.50.50.000-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00000279: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Уропрезерватив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для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пениса_порт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при недержании мочи, одноразового пользования 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Код ОКПД2: 32.50.13.190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Уропрезерватив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с пластырем</w:t>
                  </w:r>
                </w:p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21-01-18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both"/>
                    <w:rPr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Уропрезервативы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 с пластырем должны быть однократного применения, прикрепляемые с помощью пластыря, который не препятствует местному кровообращению, с усиленным сливным портом и ригидным концом, обеспечивающим постоянный и беспрепятственный отток мочи при перегибании на 90 градусов.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Уропрезервативы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 с пластырем должны иметь не менее четырех размеров по диаметру в диапазоне от 25 мм. до 40 мм. в соответствии с потребностью инвалидов.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4600</w:t>
                  </w:r>
                </w:p>
              </w:tc>
            </w:tr>
            <w:tr w:rsidR="00F832B3" w:rsidRPr="00E212EF" w:rsidTr="007914F5">
              <w:trPr>
                <w:gridBefore w:val="1"/>
                <w:wBefore w:w="13" w:type="dxa"/>
                <w:trHeight w:val="932"/>
              </w:trPr>
              <w:tc>
                <w:tcPr>
                  <w:tcW w:w="16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32.50.50.000-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00000278: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rPr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Уропрезерватив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для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пениса_порт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при недержании мочи, одноразового использования, стерильный</w:t>
                  </w:r>
                </w:p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Код ОКПД2: 32.50.13.190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Уропрезерватив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самоклеящийся</w:t>
                  </w:r>
                </w:p>
                <w:p w:rsidR="00F832B3" w:rsidRPr="00E212EF" w:rsidRDefault="00F832B3" w:rsidP="007914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21-01-19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both"/>
                    <w:rPr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Уропрезервативы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 самоклеящиеся, с адгезивным слоем на его внутренней поверхности.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Уропрезервативы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 должны быть однократного применения, с усиленным сливным портом и ригидным концом, обеспечивающим постоянный и беспрепятственный отток мочи при перегибании на 90 градусов.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Уропрезервативы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 самоклеящиеся должны иметь не менее пяти размеров по диаметру в диапазоне от 20 мм. до 40 мм. в соответствии с потребностью инвалидов.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1350</w:t>
                  </w:r>
                </w:p>
              </w:tc>
            </w:tr>
            <w:tr w:rsidR="00F832B3" w:rsidRPr="00E212EF" w:rsidTr="007914F5">
              <w:trPr>
                <w:trHeight w:val="416"/>
              </w:trPr>
              <w:tc>
                <w:tcPr>
                  <w:tcW w:w="16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zh-CN"/>
                    </w:rPr>
                    <w:t>32.50.13.190-</w:t>
                  </w:r>
                </w:p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zh-CN"/>
                    </w:rPr>
                    <w:t>00006902:</w:t>
                  </w:r>
                </w:p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zh-CN"/>
                    </w:rPr>
                  </w:pPr>
                  <w:proofErr w:type="gramStart"/>
                  <w:r w:rsidRPr="00E212EF">
                    <w:rPr>
                      <w:sz w:val="18"/>
                      <w:szCs w:val="18"/>
                      <w:lang w:eastAsia="zh-CN"/>
                    </w:rPr>
                    <w:t>Мочеприемник</w:t>
                  </w:r>
                  <w:proofErr w:type="gramEnd"/>
                  <w:r w:rsidRPr="00E212EF">
                    <w:rPr>
                      <w:sz w:val="18"/>
                      <w:szCs w:val="18"/>
                      <w:lang w:eastAsia="zh-CN"/>
                    </w:rPr>
                    <w:t xml:space="preserve"> носимый ножной со сливным краном, нестерильный</w:t>
                  </w:r>
                </w:p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Мочеприемник ножной (мешок для сбора мочи) дневной</w:t>
                  </w:r>
                </w:p>
                <w:p w:rsidR="00F832B3" w:rsidRPr="00E212EF" w:rsidRDefault="00F832B3" w:rsidP="007914F5">
                  <w:pPr>
                    <w:ind w:firstLine="11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21-01-15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widowControl w:val="0"/>
                    <w:suppressAutoHyphens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Мочеприемник ножной (мешок для сбора мочи), дневной объемом не менее 500 </w:t>
                  </w:r>
                  <w:proofErr w:type="gram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мл.,</w:t>
                  </w:r>
                  <w:proofErr w:type="gram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 не более 1500 мл. Мешок незаметен под одеждой и бесшумен, задняя сторона мешка покрыта приятным на ощупь мягким нетканым материалом, который позволяет коже дышать.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Антирефлюксный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 клапан предотвращает обратный заброс мочи, мешок имеет двойную запайку по контуру, что придает ему дополнительную прочность. Оснащен удобными сливными клапанами и плотно закрывается. Длина дренажной трубки регулируемой длины должна быть не менее 50 см, не более90 </w:t>
                  </w:r>
                  <w:proofErr w:type="gram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см..</w:t>
                  </w:r>
                  <w:proofErr w:type="gram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widowControl w:val="0"/>
                    <w:suppressAutoHyphens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7100</w:t>
                  </w:r>
                </w:p>
              </w:tc>
            </w:tr>
            <w:tr w:rsidR="00F832B3" w:rsidRPr="00E212EF" w:rsidTr="007914F5">
              <w:trPr>
                <w:trHeight w:val="751"/>
              </w:trPr>
              <w:tc>
                <w:tcPr>
                  <w:tcW w:w="16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zh-CN"/>
                    </w:rPr>
                    <w:t>32.50.13.190-</w:t>
                  </w:r>
                </w:p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zh-CN"/>
                    </w:rPr>
                    <w:t>00006897:</w:t>
                  </w:r>
                </w:p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zh-CN"/>
                    </w:rPr>
                    <w:t>Мочеприемник со сливным краном без крепления к пациенту, нестерильный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Мочеприемник прикроватный (мешок для сбора мочи) ночной</w:t>
                  </w:r>
                </w:p>
                <w:p w:rsidR="00F832B3" w:rsidRPr="00E212EF" w:rsidRDefault="00F832B3" w:rsidP="007914F5">
                  <w:pPr>
                    <w:ind w:firstLine="11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21-01-16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Мочеприемник прикроватный (мешок для сбора мочи), ночной, используется в случаях, когда необходимо собрать большой объем мочи. Его можно легко прикрепить к кровати, имеется градуированная шкала, позволяющая измерить количество мочи.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Антирефлюксный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 клапан должен предотвращать обратный заброс мочи, мешок должен быть оснащен удобными сливными клапанами и плотно закрывается. Вместимость мешка не менее 1000 мл.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7250</w:t>
                  </w:r>
                </w:p>
              </w:tc>
            </w:tr>
            <w:tr w:rsidR="00F832B3" w:rsidRPr="00E212EF" w:rsidTr="007914F5">
              <w:trPr>
                <w:trHeight w:val="751"/>
              </w:trPr>
              <w:tc>
                <w:tcPr>
                  <w:tcW w:w="16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32.50.13.190-</w:t>
                  </w:r>
                </w:p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00006909:</w:t>
                  </w:r>
                </w:p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Пара ремешков для крепления мочеприемников (мешков для сбора мочи) к ноге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Пара ремешков для крепления мочеприемников (мешков для сбора мочи) к ноге</w:t>
                  </w:r>
                </w:p>
                <w:p w:rsidR="00F832B3" w:rsidRPr="00E212EF" w:rsidRDefault="00F832B3" w:rsidP="007914F5">
                  <w:pPr>
                    <w:ind w:firstLine="11"/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21-01-17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Ремешки для крепления мешков для сбора мочи к ноге должны быть изготовлены из эластичного материала, регулируемые по длине.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tabs>
                      <w:tab w:val="left" w:pos="708"/>
                    </w:tabs>
                    <w:suppressAutoHyphens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1200</w:t>
                  </w:r>
                </w:p>
              </w:tc>
            </w:tr>
            <w:tr w:rsidR="00F832B3" w:rsidRPr="00E212EF" w:rsidTr="007914F5">
              <w:trPr>
                <w:trHeight w:val="2539"/>
              </w:trPr>
              <w:tc>
                <w:tcPr>
                  <w:tcW w:w="16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Однокомпонентный дренируемый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уроприемник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со встроенной плоской пластиной</w:t>
                  </w:r>
                </w:p>
                <w:p w:rsidR="00F832B3" w:rsidRPr="00E212EF" w:rsidRDefault="00F832B3" w:rsidP="007914F5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21-01-05</w:t>
                  </w:r>
                </w:p>
                <w:p w:rsidR="00F832B3" w:rsidRPr="00E212EF" w:rsidRDefault="00F832B3" w:rsidP="007914F5">
                  <w:pPr>
                    <w:ind w:firstLine="11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both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Однокомпонентный дренируемый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уроприемник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 со встроенной плоской пластиной, должен иметь дренируемый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уростомный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 мешок неразъемный из прозрачного многослойного, не пропускающего запах полиэтилена, с мягкой нетканой подложкой, с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антирефлюксным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 и сливным клапанами. Встроенная адгезивная пластина на натуральной,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гипоаллергенной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 гидроколлоидной основе с защитным покрытием, с разными вырезаемыми отверстиями под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стому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 xml:space="preserve"> в соответствии с потребностью инвалидов. Длина не менее 55 см,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270</w:t>
                  </w:r>
                </w:p>
              </w:tc>
            </w:tr>
            <w:tr w:rsidR="00F832B3" w:rsidRPr="00E212EF" w:rsidTr="007914F5">
              <w:trPr>
                <w:trHeight w:val="751"/>
              </w:trPr>
              <w:tc>
                <w:tcPr>
                  <w:tcW w:w="16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32B3" w:rsidRPr="00E212EF" w:rsidRDefault="00F832B3" w:rsidP="007914F5">
                  <w:pPr>
                    <w:keepNext/>
                    <w:widowControl w:val="0"/>
                    <w:suppressAutoHyphens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Наборы-мочеприемники для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самокатетеризации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: мешок-мочеприемник, катетер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лубрицированный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для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самокатетеризации</w:t>
                  </w:r>
                  <w:proofErr w:type="spellEnd"/>
                </w:p>
                <w:p w:rsidR="00F832B3" w:rsidRPr="00E212EF" w:rsidRDefault="00F832B3" w:rsidP="007914F5">
                  <w:pPr>
                    <w:ind w:firstLine="11"/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21-01-21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F832B3" w:rsidRPr="00E212EF" w:rsidRDefault="00F832B3" w:rsidP="007914F5">
                  <w:pPr>
                    <w:ind w:firstLine="11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</w:rPr>
                    <w:t xml:space="preserve">Комплексная система, содержащая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</w:rPr>
                    <w:t>лубрицированный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</w:rPr>
                    <w:t xml:space="preserve"> катетер для </w:t>
                  </w:r>
                  <w:proofErr w:type="spellStart"/>
                  <w:r w:rsidRPr="00E212EF">
                    <w:rPr>
                      <w:bCs/>
                      <w:sz w:val="18"/>
                      <w:szCs w:val="18"/>
                    </w:rPr>
                    <w:t>самокатетеризации</w:t>
                  </w:r>
                  <w:proofErr w:type="spellEnd"/>
                  <w:r w:rsidRPr="00E212EF">
                    <w:rPr>
                      <w:bCs/>
                      <w:sz w:val="18"/>
                      <w:szCs w:val="18"/>
                    </w:rPr>
                    <w:t xml:space="preserve"> и мешок для сбора мочи. Катетер должен быть изготовлен из поливинилхлорида. Мешок для сбора мочи оснащен мерной шкалой, ручкой и приспособлением для слива мочи.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4860</w:t>
                  </w:r>
                </w:p>
              </w:tc>
            </w:tr>
            <w:tr w:rsidR="00F832B3" w:rsidRPr="00E212EF" w:rsidTr="007914F5">
              <w:trPr>
                <w:trHeight w:val="751"/>
              </w:trPr>
              <w:tc>
                <w:tcPr>
                  <w:tcW w:w="16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32B3" w:rsidRPr="00E212EF" w:rsidRDefault="00F832B3" w:rsidP="007914F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832B3" w:rsidRPr="00E212EF" w:rsidRDefault="00F832B3" w:rsidP="007914F5">
                  <w:pPr>
                    <w:keepNext/>
                    <w:widowControl w:val="0"/>
                    <w:suppressAutoHyphens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12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Адгезивная пластина, плоская для</w:t>
                  </w:r>
                </w:p>
                <w:p w:rsidR="00F832B3" w:rsidRPr="00E212EF" w:rsidRDefault="00F832B3" w:rsidP="007914F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12EF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двухкомпонентного дренируемого </w:t>
                  </w:r>
                  <w:proofErr w:type="spellStart"/>
                  <w:r w:rsidRPr="00E212EF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>уроприемника</w:t>
                  </w:r>
                  <w:proofErr w:type="spellEnd"/>
                  <w:r w:rsidRPr="00E212EF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E212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F832B3" w:rsidRPr="00E212EF" w:rsidRDefault="00F832B3" w:rsidP="007914F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21-01-11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F832B3" w:rsidRPr="00E212EF" w:rsidRDefault="00F832B3" w:rsidP="007914F5">
                  <w:pPr>
                    <w:tabs>
                      <w:tab w:val="left" w:pos="708"/>
                    </w:tabs>
                    <w:ind w:firstLine="11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Адгезивная пластина с клеевым слоем должна быть на натуральной,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гипоаллергенной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гидроколлоидной основе, с защитным покрытием, с разными диаметрами вырезаемого отверстия под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стому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не менее 10 мм в соответствии с потребностью инвалидов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tabs>
                      <w:tab w:val="left" w:pos="708"/>
                    </w:tabs>
                    <w:ind w:firstLine="1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210</w:t>
                  </w:r>
                </w:p>
              </w:tc>
            </w:tr>
            <w:tr w:rsidR="00F832B3" w:rsidRPr="00E212EF" w:rsidTr="007914F5">
              <w:trPr>
                <w:trHeight w:val="751"/>
              </w:trPr>
              <w:tc>
                <w:tcPr>
                  <w:tcW w:w="16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widowControl w:val="0"/>
                    <w:suppressAutoHyphens/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zh-CN"/>
                    </w:rPr>
                    <w:t>32.50.13.190-00001:</w:t>
                  </w:r>
                </w:p>
                <w:p w:rsidR="00F832B3" w:rsidRPr="00E212EF" w:rsidRDefault="00F832B3" w:rsidP="007914F5">
                  <w:pPr>
                    <w:keepNext/>
                    <w:widowControl w:val="0"/>
                    <w:suppressAutoHyphens/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zh-CN"/>
                    </w:rPr>
                    <w:t xml:space="preserve">Мешок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zh-CN"/>
                    </w:rPr>
                    <w:t>уростомный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zh-CN"/>
                    </w:rPr>
                    <w:t xml:space="preserve"> многокомпонентный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zh-CN"/>
                    </w:rPr>
                    <w:t xml:space="preserve"> Мешок дренируемый для двухкомпонентного дренируемого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zh-CN"/>
                    </w:rPr>
                    <w:t>уроприемника</w:t>
                  </w:r>
                  <w:proofErr w:type="spellEnd"/>
                </w:p>
                <w:p w:rsidR="00F832B3" w:rsidRPr="00E212EF" w:rsidRDefault="00F832B3" w:rsidP="007914F5">
                  <w:pPr>
                    <w:ind w:firstLine="11"/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zh-CN"/>
                    </w:rPr>
                    <w:t>21-01-11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F832B3" w:rsidRPr="00E212EF" w:rsidRDefault="00F832B3" w:rsidP="007914F5">
                  <w:pPr>
                    <w:ind w:firstLine="11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Мешок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уростомный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, дренируемый должен быть из многослойного, не пропускающего запах полиэтилена, с мягкой нетканой подложкой, с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антирефлюксным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и сливным клапанами, с фланцем для крепления мешка к пластине, соответствующим фланцу пластины. Мешок должен быть объемом не менее 100 мл.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630</w:t>
                  </w:r>
                </w:p>
              </w:tc>
            </w:tr>
            <w:tr w:rsidR="00F832B3" w:rsidRPr="00E212EF" w:rsidTr="007914F5">
              <w:trPr>
                <w:trHeight w:val="751"/>
              </w:trPr>
              <w:tc>
                <w:tcPr>
                  <w:tcW w:w="16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keepNext/>
                    <w:widowControl w:val="0"/>
                    <w:suppressAutoHyphens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32.50.13.190-</w:t>
                  </w:r>
                </w:p>
                <w:p w:rsidR="00F832B3" w:rsidRPr="00E212EF" w:rsidRDefault="00F832B3" w:rsidP="007914F5">
                  <w:pPr>
                    <w:keepNext/>
                    <w:widowControl w:val="0"/>
                    <w:suppressAutoHyphens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00006891:</w:t>
                  </w:r>
                </w:p>
                <w:p w:rsidR="00F832B3" w:rsidRPr="00E212EF" w:rsidRDefault="00F832B3" w:rsidP="007914F5">
                  <w:pPr>
                    <w:keepNext/>
                    <w:widowControl w:val="0"/>
                    <w:suppressAutoHyphens/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Катетер мочеточниковый общего назначения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Катетер мочеточниковый для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уретерокутанеостомы</w:t>
                  </w:r>
                  <w:proofErr w:type="spellEnd"/>
                </w:p>
                <w:p w:rsidR="00F832B3" w:rsidRPr="00E212EF" w:rsidRDefault="00F832B3" w:rsidP="007914F5">
                  <w:pPr>
                    <w:ind w:firstLine="11"/>
                    <w:rPr>
                      <w:sz w:val="18"/>
                      <w:szCs w:val="18"/>
                      <w:lang w:eastAsia="zh-CN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21-01-26 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F832B3" w:rsidRPr="00E212EF" w:rsidRDefault="00F832B3" w:rsidP="007914F5">
                  <w:pPr>
                    <w:widowControl w:val="0"/>
                    <w:ind w:right="154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Катетеры должны быть мочеточниковые для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уретерокутанеостомы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разных размеров в соответствии с потребностью инвалидов.</w:t>
                  </w:r>
                </w:p>
                <w:p w:rsidR="00F832B3" w:rsidRPr="00E212EF" w:rsidRDefault="00F832B3" w:rsidP="007914F5">
                  <w:pPr>
                    <w:widowControl w:val="0"/>
                    <w:ind w:right="154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Катетер должен быть изготовлен из полимерного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материала.Используется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 xml:space="preserve"> для отведения мочи через </w:t>
                  </w:r>
                  <w:proofErr w:type="spellStart"/>
                  <w:r w:rsidRPr="00E212EF">
                    <w:rPr>
                      <w:sz w:val="18"/>
                      <w:szCs w:val="18"/>
                      <w:lang w:eastAsia="en-US"/>
                    </w:rPr>
                    <w:t>уретерокутанеостому</w:t>
                  </w:r>
                  <w:proofErr w:type="spellEnd"/>
                  <w:r w:rsidRPr="00E212EF">
                    <w:rPr>
                      <w:sz w:val="18"/>
                      <w:szCs w:val="18"/>
                      <w:lang w:eastAsia="en-US"/>
                    </w:rPr>
                    <w:t>. Имеет дистальные отверстия, овальный / круглый фланец для крепления к коже. Катетер должен быть стерилен и находится в индивидуальной упаковке.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widowControl w:val="0"/>
                    <w:ind w:right="15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</w:tr>
            <w:tr w:rsidR="00F832B3" w:rsidRPr="00E212EF" w:rsidTr="007914F5">
              <w:trPr>
                <w:trHeight w:val="355"/>
              </w:trPr>
              <w:tc>
                <w:tcPr>
                  <w:tcW w:w="325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rPr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sz w:val="18"/>
                      <w:szCs w:val="18"/>
                      <w:lang w:eastAsia="en-US"/>
                    </w:rPr>
                    <w:t>ИТОГО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F832B3" w:rsidRPr="00E212EF" w:rsidRDefault="00F832B3" w:rsidP="007914F5">
                  <w:pPr>
                    <w:ind w:firstLine="11"/>
                    <w:jc w:val="both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F832B3" w:rsidRPr="00E212EF" w:rsidRDefault="00F832B3" w:rsidP="007914F5">
                  <w:pPr>
                    <w:ind w:firstLine="11"/>
                    <w:jc w:val="both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212EF">
                    <w:rPr>
                      <w:bCs/>
                      <w:sz w:val="18"/>
                      <w:szCs w:val="18"/>
                      <w:lang w:eastAsia="en-US"/>
                    </w:rPr>
                    <w:t>41951</w:t>
                  </w:r>
                </w:p>
              </w:tc>
            </w:tr>
          </w:tbl>
          <w:p w:rsidR="00F832B3" w:rsidRPr="00050799" w:rsidRDefault="00F832B3" w:rsidP="007914F5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</w:p>
        </w:tc>
      </w:tr>
      <w:tr w:rsidR="00F832B3" w:rsidTr="007914F5">
        <w:trPr>
          <w:gridAfter w:val="1"/>
          <w:wAfter w:w="79" w:type="dxa"/>
        </w:trPr>
        <w:tc>
          <w:tcPr>
            <w:tcW w:w="9781" w:type="dxa"/>
          </w:tcPr>
          <w:p w:rsidR="00F832B3" w:rsidRDefault="00F832B3" w:rsidP="007914F5">
            <w:pPr>
              <w:spacing w:line="25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F832B3" w:rsidRDefault="00F832B3" w:rsidP="007914F5">
            <w:pPr>
              <w:spacing w:line="256" w:lineRule="auto"/>
              <w:ind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Место </w:t>
            </w:r>
            <w:r>
              <w:rPr>
                <w:rStyle w:val="FontStyle19"/>
                <w:sz w:val="22"/>
                <w:szCs w:val="22"/>
                <w:u w:val="single"/>
                <w:lang w:eastAsia="en-US"/>
              </w:rPr>
              <w:t>п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оставки товара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bCs/>
                <w:sz w:val="22"/>
                <w:szCs w:val="22"/>
                <w:lang w:eastAsia="en-US"/>
              </w:rPr>
              <w:t>Республика Бурятия,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 месту жительства Получателя или по месту нахождения пункта выдачи (по выбору Получателя на </w:t>
            </w:r>
            <w:r>
              <w:rPr>
                <w:sz w:val="22"/>
                <w:szCs w:val="22"/>
                <w:lang w:eastAsia="en-US"/>
              </w:rPr>
              <w:t xml:space="preserve">условиях </w:t>
            </w:r>
            <w:r>
              <w:rPr>
                <w:sz w:val="22"/>
                <w:szCs w:val="22"/>
                <w:lang w:val="en-US" w:eastAsia="en-US"/>
              </w:rPr>
              <w:t>DDP</w:t>
            </w:r>
            <w:r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  <w:tr w:rsidR="00F832B3" w:rsidTr="007914F5">
        <w:trPr>
          <w:gridAfter w:val="1"/>
          <w:wAfter w:w="79" w:type="dxa"/>
        </w:trPr>
        <w:tc>
          <w:tcPr>
            <w:tcW w:w="9781" w:type="dxa"/>
            <w:hideMark/>
          </w:tcPr>
          <w:p w:rsidR="00F832B3" w:rsidRDefault="00F832B3" w:rsidP="007914F5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Срок </w:t>
            </w:r>
            <w:r>
              <w:rPr>
                <w:rStyle w:val="FontStyle19"/>
                <w:sz w:val="22"/>
                <w:szCs w:val="22"/>
                <w:u w:val="single"/>
                <w:lang w:eastAsia="en-US"/>
              </w:rPr>
              <w:t>п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оставки товара: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t xml:space="preserve">со дня, следующего за днем заключения государственного контракта и </w:t>
            </w:r>
            <w:r>
              <w:rPr>
                <w:b/>
              </w:rPr>
              <w:t>по 31.10.2019г.</w:t>
            </w:r>
          </w:p>
          <w:p w:rsidR="00F832B3" w:rsidRDefault="00F832B3" w:rsidP="007914F5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Срок поставки Товара в полном объеме в Республику Бурятия в течение 20 (двадцати) календарных дней со дня, следующего за днем заключения Контракта. </w:t>
            </w:r>
          </w:p>
          <w:p w:rsidR="00F832B3" w:rsidRDefault="00F832B3" w:rsidP="007914F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Условия поставки. </w:t>
            </w:r>
            <w:r>
              <w:rPr>
                <w:sz w:val="22"/>
                <w:szCs w:val="22"/>
                <w:lang w:eastAsia="en-US"/>
              </w:rPr>
              <w:t>Поставка Товара по месту жительства Получателей (по выбору Получателя) осуществляется со дня, следующего за днем получения Поставщиком Реестра Получателей, либо с момента предъявления Получателями Направлений на получение Товара Поставщику, в течение 30 календарных дней, но не позднее 31.10.2019г.</w:t>
            </w:r>
          </w:p>
          <w:p w:rsidR="00F832B3" w:rsidRDefault="00F832B3" w:rsidP="007914F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Срок действия Направления:</w:t>
            </w:r>
            <w:r>
              <w:rPr>
                <w:sz w:val="22"/>
                <w:szCs w:val="22"/>
                <w:lang w:eastAsia="en-US"/>
              </w:rPr>
              <w:t xml:space="preserve"> с момента подписания настоящего Контракта и </w:t>
            </w:r>
            <w:r>
              <w:rPr>
                <w:b/>
                <w:sz w:val="22"/>
                <w:szCs w:val="22"/>
                <w:lang w:eastAsia="en-US"/>
              </w:rPr>
              <w:t>по 31 октября 2019 года.</w:t>
            </w:r>
          </w:p>
          <w:p w:rsidR="00F832B3" w:rsidRDefault="00F832B3" w:rsidP="007914F5">
            <w:pPr>
              <w:widowControl w:val="0"/>
              <w:suppressAutoHyphens/>
              <w:spacing w:line="25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F832B3" w:rsidTr="007914F5">
        <w:trPr>
          <w:gridAfter w:val="1"/>
          <w:wAfter w:w="79" w:type="dxa"/>
        </w:trPr>
        <w:tc>
          <w:tcPr>
            <w:tcW w:w="9781" w:type="dxa"/>
            <w:hideMark/>
          </w:tcPr>
          <w:p w:rsidR="00F832B3" w:rsidRDefault="00F832B3" w:rsidP="007914F5">
            <w:pPr>
              <w:spacing w:line="256" w:lineRule="auto"/>
              <w:ind w:firstLine="74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10 календарных дней с даты получения Реестра получателей Поставщик обязан предоставить Заказчику график поставки, при этом Поставщик обязан проинформировать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Получателя о дате, времени и месте поставки, не позднее, чем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за 2 (два) календарных дня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 дня поставки Товара, с п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редоставлением Получателям право выбора способа получения Товара (по месту жительства Получателя либо по месту нахождения пункта выдачи). </w:t>
            </w:r>
          </w:p>
          <w:p w:rsidR="00F832B3" w:rsidRDefault="00F832B3" w:rsidP="007914F5">
            <w:pPr>
              <w:spacing w:line="25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Поставщик обязан вести журнал телефонных звонков с указанием времени звонка, результата звонка, выбора способа, места и времени доставки Товара и предоставить Заказчику в подтверждение исполнения Контракта.</w:t>
            </w:r>
          </w:p>
          <w:p w:rsidR="00F832B3" w:rsidRDefault="00F832B3" w:rsidP="007914F5">
            <w:pPr>
              <w:spacing w:line="25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      </w:r>
          </w:p>
          <w:p w:rsidR="00F832B3" w:rsidRDefault="00F832B3" w:rsidP="007914F5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 xml:space="preserve">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      </w:r>
            <w:r>
              <w:rPr>
                <w:sz w:val="22"/>
                <w:szCs w:val="22"/>
                <w:lang w:eastAsia="en-US"/>
              </w:rPr>
              <w:t xml:space="preserve"> выдаваемого Заказчиком, подписанного уполномоченным на дату выдачи Направления лицом Заказчика.</w:t>
            </w:r>
          </w:p>
          <w:p w:rsidR="00F832B3" w:rsidRDefault="00F832B3" w:rsidP="007914F5">
            <w:pPr>
              <w:suppressAutoHyphens/>
              <w:spacing w:line="256" w:lineRule="auto"/>
              <w:ind w:firstLine="567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и документ, удостоверяющего личность Получателя, с указанием данных получателей в акте приема - передачи товара. </w:t>
            </w:r>
          </w:p>
          <w:p w:rsidR="00F832B3" w:rsidRDefault="00F832B3" w:rsidP="007914F5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      </w:r>
          </w:p>
          <w:p w:rsidR="00F832B3" w:rsidRDefault="00F832B3" w:rsidP="007914F5">
            <w:pPr>
              <w:spacing w:line="25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переезд, отказ в получении Товара и т.п.) Поставщик обязан составить акт с указанием причин невозможности вручения Товара Получателю.</w:t>
            </w:r>
          </w:p>
          <w:p w:rsidR="00F832B3" w:rsidRDefault="00F832B3" w:rsidP="007914F5">
            <w:pPr>
              <w:spacing w:line="256" w:lineRule="auto"/>
              <w:ind w:firstLine="7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Поставщик обязан </w:t>
            </w:r>
            <w:r w:rsidRPr="00FE46DC">
              <w:rPr>
                <w:b/>
                <w:sz w:val="22"/>
                <w:szCs w:val="22"/>
                <w:lang w:eastAsia="en-US"/>
              </w:rPr>
              <w:t xml:space="preserve">в течение 10 (десяти) календарных </w:t>
            </w:r>
            <w:proofErr w:type="gramStart"/>
            <w:r w:rsidRPr="00FE46DC">
              <w:rPr>
                <w:b/>
                <w:sz w:val="22"/>
                <w:szCs w:val="22"/>
                <w:lang w:eastAsia="en-US"/>
              </w:rPr>
              <w:t>дней</w:t>
            </w:r>
            <w:r>
              <w:rPr>
                <w:sz w:val="22"/>
                <w:szCs w:val="22"/>
                <w:lang w:eastAsia="en-US"/>
              </w:rPr>
              <w:t xml:space="preserve">  со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дня подписания Контракта, предоставить Заказчику копии деклараций соответствия и регистрационных удостоверений на Товар, заверенные Поставщиком.</w:t>
            </w:r>
          </w:p>
          <w:p w:rsidR="00F832B3" w:rsidRDefault="00F832B3" w:rsidP="007914F5">
            <w:pPr>
              <w:spacing w:line="256" w:lineRule="auto"/>
              <w:ind w:firstLine="7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 заключения Контракта до начала поставки Заказчик осуществляет проверку Товара на предмет соответствия функциональным и техническим характеристикам, указанным в настоящем техническом задании.</w:t>
            </w:r>
          </w:p>
          <w:p w:rsidR="00F832B3" w:rsidRDefault="00F832B3" w:rsidP="007914F5">
            <w:pPr>
              <w:widowControl w:val="0"/>
              <w:tabs>
                <w:tab w:val="left" w:pos="708"/>
                <w:tab w:val="num" w:pos="1855"/>
              </w:tabs>
              <w:spacing w:line="25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Поставщик обязан в </w:t>
            </w:r>
            <w:r>
              <w:rPr>
                <w:b/>
                <w:sz w:val="22"/>
                <w:szCs w:val="22"/>
                <w:lang w:eastAsia="en-US"/>
              </w:rPr>
              <w:t>течение 5-ти рабочих дней</w:t>
            </w:r>
            <w:r>
              <w:rPr>
                <w:sz w:val="22"/>
                <w:szCs w:val="22"/>
                <w:lang w:eastAsia="en-US"/>
              </w:rPr>
              <w:t xml:space="preserve"> с даты заключения Контракта организовать на территории г. Улан-Удэ пункт выдачи Товара Получателям и официально сообщить Заказчику адрес организованного пункта. Пункт должен обеспечивать прием Получателей не менее пяти дней в неделю, не менее 40 часов в неделю. Поставка осуществляется в упаковке, обеспечивающей сохранность Товара во время перевозки.</w:t>
            </w:r>
          </w:p>
          <w:p w:rsidR="00F832B3" w:rsidRDefault="00F832B3" w:rsidP="007914F5">
            <w:pPr>
              <w:ind w:firstLine="601"/>
              <w:jc w:val="both"/>
              <w:rPr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>Поставщик обязан в</w:t>
            </w:r>
            <w:r>
              <w:rPr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течение 10 (десяти) календарных дней</w:t>
            </w:r>
            <w:r>
              <w:rPr>
                <w:color w:val="000000"/>
                <w:lang w:eastAsia="ar-SA"/>
              </w:rPr>
              <w:t xml:space="preserve"> со дня получения Реестра Получателей от Заказчика или Направления от Получателя представить</w:t>
            </w:r>
            <w:r>
              <w:rPr>
                <w:lang w:eastAsia="ar-SA"/>
              </w:rPr>
              <w:t xml:space="preserve"> Заказчику график поставки Товара.</w:t>
            </w:r>
            <w:r>
              <w:rPr>
                <w:rFonts w:eastAsia="Calibri"/>
                <w:lang w:eastAsia="en-US"/>
              </w:rPr>
              <w:t xml:space="preserve"> В случае невозможности предоставления Товара Получателям </w:t>
            </w:r>
            <w:r>
              <w:rPr>
                <w:rFonts w:eastAsia="Calibri"/>
                <w:b/>
                <w:lang w:eastAsia="en-US"/>
              </w:rPr>
              <w:t>не позднее 1 дня, следующего за датой доставки</w:t>
            </w:r>
            <w:r>
              <w:rPr>
                <w:rFonts w:eastAsia="Calibri"/>
                <w:lang w:eastAsia="en-US"/>
              </w:rPr>
              <w:t xml:space="preserve"> (датой окончания периода доставки), указанной в графике поставки Товара проинформировать Заказчика в письменной форме с указанием причин.</w:t>
            </w:r>
          </w:p>
          <w:p w:rsidR="00F832B3" w:rsidRDefault="00F832B3" w:rsidP="007914F5">
            <w:pPr>
              <w:widowControl w:val="0"/>
              <w:tabs>
                <w:tab w:val="left" w:pos="708"/>
                <w:tab w:val="num" w:pos="1855"/>
              </w:tabs>
              <w:spacing w:line="25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F832B3" w:rsidTr="007914F5">
        <w:trPr>
          <w:gridAfter w:val="1"/>
          <w:wAfter w:w="79" w:type="dxa"/>
          <w:trHeight w:val="80"/>
        </w:trPr>
        <w:tc>
          <w:tcPr>
            <w:tcW w:w="9781" w:type="dxa"/>
          </w:tcPr>
          <w:p w:rsidR="00F832B3" w:rsidRDefault="00F832B3" w:rsidP="007914F5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Требования к гарантии качества технических средств реабилитации</w:t>
            </w:r>
          </w:p>
          <w:p w:rsidR="00F832B3" w:rsidRDefault="00F832B3" w:rsidP="007914F5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Данные средства являются продукцией одноразовой, в связи с чем, срок предоставления гарантии качества специальных средств при нарушениях функций выделения (мочеприемников) не устанавливается. </w:t>
            </w:r>
          </w:p>
          <w:p w:rsidR="00F832B3" w:rsidRDefault="00F832B3" w:rsidP="007914F5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Срок годности специальных средств при нарушении функций выделения – не менее 6 (шести) месяцев на дату поставки Товара Получателям.</w:t>
            </w:r>
          </w:p>
          <w:p w:rsidR="00F832B3" w:rsidRDefault="00F832B3" w:rsidP="007914F5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</w:p>
          <w:p w:rsidR="00F832B3" w:rsidRDefault="00F832B3" w:rsidP="007914F5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Поставщик обязан принять от Получателя некачественный Товар и заменить его в течение 5 (пяти) календарных дней с даты его обращения на аналогичный Товар надлежащего качества.</w:t>
            </w:r>
          </w:p>
        </w:tc>
      </w:tr>
    </w:tbl>
    <w:p w:rsidR="00F832B3" w:rsidRDefault="00F832B3" w:rsidP="00F832B3">
      <w:pPr>
        <w:pStyle w:val="Style8"/>
        <w:tabs>
          <w:tab w:val="left" w:pos="0"/>
          <w:tab w:val="left" w:pos="1560"/>
          <w:tab w:val="left" w:pos="1701"/>
        </w:tabs>
        <w:spacing w:line="240" w:lineRule="auto"/>
        <w:rPr>
          <w:lang w:eastAsia="en-US"/>
        </w:rPr>
      </w:pPr>
      <w:r>
        <w:rPr>
          <w:lang w:eastAsia="en-US"/>
        </w:rPr>
        <w:t xml:space="preserve">         </w:t>
      </w:r>
    </w:p>
    <w:p w:rsidR="00F832B3" w:rsidRDefault="00F832B3" w:rsidP="00F832B3">
      <w:pPr>
        <w:pStyle w:val="Style8"/>
        <w:tabs>
          <w:tab w:val="left" w:pos="0"/>
          <w:tab w:val="left" w:pos="1560"/>
          <w:tab w:val="left" w:pos="1701"/>
        </w:tabs>
        <w:spacing w:line="240" w:lineRule="auto"/>
        <w:rPr>
          <w:lang w:eastAsia="en-US"/>
        </w:rPr>
      </w:pPr>
    </w:p>
    <w:p w:rsidR="00F832B3" w:rsidRDefault="00F832B3" w:rsidP="00F832B3">
      <w:pPr>
        <w:pStyle w:val="Style8"/>
        <w:tabs>
          <w:tab w:val="left" w:pos="0"/>
          <w:tab w:val="left" w:pos="1560"/>
          <w:tab w:val="left" w:pos="1701"/>
        </w:tabs>
        <w:spacing w:line="240" w:lineRule="auto"/>
        <w:rPr>
          <w:b/>
          <w:lang w:eastAsia="en-US"/>
        </w:rPr>
      </w:pPr>
      <w:r>
        <w:rPr>
          <w:lang w:eastAsia="en-US"/>
        </w:rPr>
        <w:t xml:space="preserve">          </w:t>
      </w:r>
      <w:r>
        <w:rPr>
          <w:b/>
          <w:lang w:eastAsia="en-US"/>
        </w:rPr>
        <w:t>Требования к качеству, техническим, функциональным характеристикам специальных средств при нарушениях функций выделения (мочеприемников):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F832B3" w:rsidTr="007914F5">
        <w:tc>
          <w:tcPr>
            <w:tcW w:w="9498" w:type="dxa"/>
            <w:hideMark/>
          </w:tcPr>
          <w:p w:rsidR="00F832B3" w:rsidRDefault="00F832B3" w:rsidP="007914F5">
            <w:pPr>
              <w:rPr>
                <w:b/>
                <w:lang w:eastAsia="en-US"/>
              </w:rPr>
            </w:pPr>
          </w:p>
        </w:tc>
      </w:tr>
      <w:tr w:rsidR="00F832B3" w:rsidTr="007914F5">
        <w:tc>
          <w:tcPr>
            <w:tcW w:w="9498" w:type="dxa"/>
            <w:hideMark/>
          </w:tcPr>
          <w:p w:rsidR="00F832B3" w:rsidRDefault="00F832B3" w:rsidP="007914F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специальные средства при нарушениях функций выделения (мочеприемники) - это устройства, носимые на себе, предназначенные для сбора мочи и устранения ее агрессивного воздействия на кожу;</w:t>
            </w:r>
          </w:p>
          <w:p w:rsidR="00F832B3" w:rsidRDefault="00F832B3" w:rsidP="007914F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специальные средства при нарушениях функций выделения (катетеры) - это устройства, носимые на себе, предназначенные для вывода мочи;</w:t>
            </w:r>
          </w:p>
        </w:tc>
      </w:tr>
      <w:tr w:rsidR="00F832B3" w:rsidTr="007914F5">
        <w:tc>
          <w:tcPr>
            <w:tcW w:w="9498" w:type="dxa"/>
            <w:hideMark/>
          </w:tcPr>
          <w:p w:rsidR="00F832B3" w:rsidRDefault="00F832B3" w:rsidP="007914F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конструкция специальных средств при нарушениях функций выделения (мочеприемников, катетеров) должна обеспечивать пользователю удобство и простоту обращения с ними;</w:t>
            </w:r>
          </w:p>
        </w:tc>
      </w:tr>
      <w:tr w:rsidR="00F832B3" w:rsidTr="007914F5">
        <w:tc>
          <w:tcPr>
            <w:tcW w:w="9498" w:type="dxa"/>
            <w:hideMark/>
          </w:tcPr>
          <w:p w:rsidR="00F832B3" w:rsidRDefault="00F832B3" w:rsidP="007914F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специальных средствах при нарушениях функций выделения (мочеприемниках, катетерах) не допускаются механические повреждения (разрыв края, разрезы и т.п.), видимые невооруженным глазом;</w:t>
            </w:r>
          </w:p>
        </w:tc>
      </w:tr>
      <w:tr w:rsidR="00F832B3" w:rsidTr="007914F5">
        <w:tc>
          <w:tcPr>
            <w:tcW w:w="9498" w:type="dxa"/>
            <w:hideMark/>
          </w:tcPr>
          <w:p w:rsidR="00F832B3" w:rsidRDefault="00F832B3" w:rsidP="007914F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специальные средства при нарушениях функций выделения (мочеприемники)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должны соответствовать требованиям стандартов ГОСТ ISO 10993-1-2011 «Изделия медицинские. Оценка биологического действия медицинских изделий», </w:t>
            </w:r>
            <w:r>
              <w:rPr>
                <w:bCs/>
                <w:sz w:val="22"/>
                <w:szCs w:val="22"/>
                <w:lang w:eastAsia="en-US"/>
              </w:rPr>
              <w:t>ГОСТ Р 52770-2016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«Изделия медицинские. Требования безопасности. Методы санитарно-химических и токсикологических испытаний», ГОСТ Р 50444-92 «Приборы, аппараты и оборудование медицинские. Общие технические условия», ГОСТ ISO 10993-11-2011 «Изделия медицинские. Оценка биологического действия медицинских изделий.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kern w:val="36"/>
                <w:sz w:val="46"/>
                <w:szCs w:val="46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Часть 11. Исследования общетоксического действия</w:t>
            </w:r>
            <w:r>
              <w:rPr>
                <w:sz w:val="22"/>
                <w:szCs w:val="22"/>
                <w:lang w:eastAsia="en-US"/>
              </w:rPr>
              <w:t>», ГОСТ ISO 10993-10-2011 «Изделия медицинские. Оценка биологического действия медицинских изделий.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kern w:val="36"/>
                <w:sz w:val="46"/>
                <w:szCs w:val="46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Часть 10. Исследования раздражающего и сенсибилизирующего действия</w:t>
            </w:r>
            <w:r>
              <w:rPr>
                <w:sz w:val="22"/>
                <w:szCs w:val="22"/>
                <w:lang w:eastAsia="en-US"/>
              </w:rPr>
              <w:t xml:space="preserve">», ГОСТ ISO 10993-5-2011 «Изделия медицинские. Оценка биологического действия медицинских изделий. </w:t>
            </w:r>
            <w:r>
              <w:rPr>
                <w:bCs/>
                <w:sz w:val="22"/>
                <w:szCs w:val="22"/>
                <w:lang w:eastAsia="en-US"/>
              </w:rPr>
              <w:t xml:space="preserve">Часть 5. Исследования 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цитотоксичность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: методы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in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vitro</w:t>
            </w:r>
            <w:proofErr w:type="spellEnd"/>
            <w:r>
              <w:rPr>
                <w:sz w:val="22"/>
                <w:szCs w:val="22"/>
                <w:lang w:eastAsia="en-US"/>
              </w:rPr>
              <w:t>»;</w:t>
            </w:r>
          </w:p>
          <w:p w:rsidR="00F832B3" w:rsidRDefault="00F832B3" w:rsidP="007914F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специальные средства при нарушениях функций выделения (катетеры) должны соответствовать требованиям стандартов ГОСТ </w:t>
            </w:r>
            <w:r>
              <w:rPr>
                <w:sz w:val="22"/>
                <w:szCs w:val="22"/>
                <w:lang w:val="en-US" w:eastAsia="en-US"/>
              </w:rPr>
              <w:t>ISO</w:t>
            </w:r>
            <w:r>
              <w:rPr>
                <w:sz w:val="22"/>
                <w:szCs w:val="22"/>
                <w:lang w:eastAsia="en-US"/>
              </w:rPr>
              <w:t xml:space="preserve"> 10993-1-2011 «Изделия медицинские. Оценка биологического действия медицинских изделий», ГОСТ </w:t>
            </w:r>
            <w:r>
              <w:rPr>
                <w:sz w:val="22"/>
                <w:szCs w:val="22"/>
                <w:lang w:val="en-US" w:eastAsia="en-US"/>
              </w:rPr>
              <w:t>ISO</w:t>
            </w:r>
            <w:r>
              <w:rPr>
                <w:sz w:val="22"/>
                <w:szCs w:val="22"/>
                <w:lang w:eastAsia="en-US"/>
              </w:rPr>
              <w:t xml:space="preserve"> 10993-3-2011 «Изделия медицинские. Оценка биологического действия медицинских изделий.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kern w:val="36"/>
                <w:sz w:val="46"/>
                <w:szCs w:val="46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Часть 3. Исследования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генотоксичности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канцерогенности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 токсического действия на репродуктивную функцию</w:t>
            </w:r>
            <w:r>
              <w:rPr>
                <w:sz w:val="22"/>
                <w:szCs w:val="22"/>
                <w:lang w:eastAsia="en-US"/>
              </w:rPr>
              <w:t xml:space="preserve">», ГОСТ </w:t>
            </w:r>
            <w:r>
              <w:rPr>
                <w:sz w:val="22"/>
                <w:szCs w:val="22"/>
                <w:lang w:val="en-US" w:eastAsia="en-US"/>
              </w:rPr>
              <w:t>ISO</w:t>
            </w:r>
            <w:r>
              <w:rPr>
                <w:sz w:val="22"/>
                <w:szCs w:val="22"/>
                <w:lang w:eastAsia="en-US"/>
              </w:rPr>
              <w:t xml:space="preserve"> 10993-4-2011 «Изделия медицинские. Оценка биологического действия медицинских изделий.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kern w:val="36"/>
                <w:sz w:val="46"/>
                <w:szCs w:val="46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Часть 4. Исследования изделий, взаимодействующих с кровью</w:t>
            </w:r>
            <w:r>
              <w:rPr>
                <w:sz w:val="22"/>
                <w:szCs w:val="22"/>
                <w:lang w:eastAsia="en-US"/>
              </w:rPr>
              <w:t xml:space="preserve">», ГОСТ </w:t>
            </w:r>
            <w:r>
              <w:rPr>
                <w:sz w:val="22"/>
                <w:szCs w:val="22"/>
                <w:lang w:val="en-US" w:eastAsia="en-US"/>
              </w:rPr>
              <w:t>ISO</w:t>
            </w:r>
            <w:r>
              <w:rPr>
                <w:sz w:val="22"/>
                <w:szCs w:val="22"/>
                <w:lang w:eastAsia="en-US"/>
              </w:rPr>
              <w:t xml:space="preserve"> 10993-5-2011 «Изделия медицинские. Оценка биологического действия медицинских изделий. </w:t>
            </w:r>
            <w:r>
              <w:rPr>
                <w:bCs/>
                <w:sz w:val="22"/>
                <w:szCs w:val="22"/>
                <w:lang w:eastAsia="en-US"/>
              </w:rPr>
              <w:t xml:space="preserve">Часть 5. Исследования 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цитотоксичность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: методы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in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vitro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ГОСТ </w:t>
            </w:r>
            <w:r>
              <w:rPr>
                <w:sz w:val="22"/>
                <w:szCs w:val="22"/>
                <w:lang w:val="en-US" w:eastAsia="en-US"/>
              </w:rPr>
              <w:t>ISO</w:t>
            </w:r>
            <w:r>
              <w:rPr>
                <w:sz w:val="22"/>
                <w:szCs w:val="22"/>
                <w:lang w:eastAsia="en-US"/>
              </w:rPr>
              <w:t xml:space="preserve"> 10993-6-2011 «Изделия медицинские. Оценка биологического действия медицинских изделий.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kern w:val="36"/>
                <w:sz w:val="46"/>
                <w:szCs w:val="46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Часть 6. Исследования местного действия после имплантации</w:t>
            </w:r>
            <w:r>
              <w:rPr>
                <w:sz w:val="22"/>
                <w:szCs w:val="22"/>
                <w:lang w:eastAsia="en-US"/>
              </w:rPr>
              <w:t xml:space="preserve">», ГОСТ </w:t>
            </w:r>
            <w:r>
              <w:rPr>
                <w:sz w:val="22"/>
                <w:szCs w:val="22"/>
                <w:lang w:val="en-US" w:eastAsia="en-US"/>
              </w:rPr>
              <w:t>ISO</w:t>
            </w:r>
            <w:r>
              <w:rPr>
                <w:sz w:val="22"/>
                <w:szCs w:val="22"/>
                <w:lang w:eastAsia="en-US"/>
              </w:rPr>
              <w:t xml:space="preserve"> 10993-10-2011 «Изделия медицинские. Оценка биологического действия медицинских изделий.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kern w:val="36"/>
                <w:sz w:val="46"/>
                <w:szCs w:val="46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Часть 10. Исследования раздражающего и сенсибилизирующего действия</w:t>
            </w:r>
            <w:r>
              <w:rPr>
                <w:sz w:val="22"/>
                <w:szCs w:val="22"/>
                <w:lang w:eastAsia="en-US"/>
              </w:rPr>
              <w:t xml:space="preserve">», ГОСТ </w:t>
            </w:r>
            <w:r>
              <w:rPr>
                <w:sz w:val="22"/>
                <w:szCs w:val="22"/>
                <w:lang w:val="en-US" w:eastAsia="en-US"/>
              </w:rPr>
              <w:t>ISO</w:t>
            </w:r>
            <w:r>
              <w:rPr>
                <w:sz w:val="22"/>
                <w:szCs w:val="22"/>
                <w:lang w:eastAsia="en-US"/>
              </w:rPr>
              <w:t xml:space="preserve"> 10993-11-2011 «Изделия медицинские. Оценка биологического действия медицинских изделий.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kern w:val="36"/>
                <w:sz w:val="46"/>
                <w:szCs w:val="46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Часть 11. Исследования общетоксического действия</w:t>
            </w:r>
            <w:r>
              <w:rPr>
                <w:sz w:val="22"/>
                <w:szCs w:val="22"/>
                <w:lang w:eastAsia="en-US"/>
              </w:rPr>
              <w:t xml:space="preserve">», </w:t>
            </w:r>
            <w:r>
              <w:rPr>
                <w:bCs/>
                <w:sz w:val="22"/>
                <w:szCs w:val="22"/>
                <w:lang w:eastAsia="en-US"/>
              </w:rPr>
              <w:t>ГОСТ Р 52770-2016</w:t>
            </w:r>
            <w:r>
              <w:rPr>
                <w:sz w:val="22"/>
                <w:szCs w:val="22"/>
                <w:lang w:eastAsia="en-US"/>
              </w:rPr>
              <w:t xml:space="preserve"> «Изделия медицинские. Требования безопасности. Методы санитарно-химических и токсикологических испытаний», ГОСТ 19126-2007 «Инструменты медицинские металлические. Общие технические условия».</w:t>
            </w:r>
          </w:p>
        </w:tc>
      </w:tr>
      <w:tr w:rsidR="00F832B3" w:rsidTr="007914F5">
        <w:tc>
          <w:tcPr>
            <w:tcW w:w="9498" w:type="dxa"/>
            <w:hideMark/>
          </w:tcPr>
          <w:p w:rsidR="00F832B3" w:rsidRDefault="00F832B3" w:rsidP="007914F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наличие регистрационного удостоверения на специальные средства при нарушениях функций выделения (мочеприемники, катетеры).</w:t>
            </w:r>
          </w:p>
        </w:tc>
      </w:tr>
    </w:tbl>
    <w:p w:rsidR="00F832B3" w:rsidRDefault="00F832B3" w:rsidP="00F832B3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B64ECE" w:rsidRPr="007503E9" w:rsidRDefault="00B64ECE" w:rsidP="007503E9"/>
    <w:sectPr w:rsidR="00B64ECE" w:rsidRPr="007503E9" w:rsidSect="007503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AC"/>
    <w:rsid w:val="00245C4B"/>
    <w:rsid w:val="00381E71"/>
    <w:rsid w:val="007503E9"/>
    <w:rsid w:val="00B64ECE"/>
    <w:rsid w:val="00D939AC"/>
    <w:rsid w:val="00F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A559A-CA1B-4210-9F9D-4C8BDE10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381E71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381E71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381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2722</Words>
  <Characters>15520</Characters>
  <Application>Microsoft Office Word</Application>
  <DocSecurity>0</DocSecurity>
  <Lines>129</Lines>
  <Paragraphs>36</Paragraphs>
  <ScaleCrop>false</ScaleCrop>
  <Company/>
  <LinksUpToDate>false</LinksUpToDate>
  <CharactersWithSpaces>18206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Екатерина Юрьевна</dc:creator>
  <cp:keywords/>
  <dc:description/>
  <cp:lastModifiedBy>Веселова Екатерина Юрьевна</cp:lastModifiedBy>
  <cp:revision>5</cp:revision>
  <dcterms:created xsi:type="dcterms:W3CDTF">2019-06-13T05:59:00Z</dcterms:created>
  <dcterms:modified xsi:type="dcterms:W3CDTF">2019-07-10T02:17:00Z</dcterms:modified>
</cp:coreProperties>
</file>