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19" w:rsidRPr="00480112" w:rsidRDefault="00832219" w:rsidP="00480112">
      <w:pPr>
        <w:jc w:val="center"/>
        <w:rPr>
          <w:rFonts w:eastAsia="Arial"/>
        </w:rPr>
      </w:pPr>
      <w:r w:rsidRPr="003E010A">
        <w:rPr>
          <w:rFonts w:eastAsia="Arial"/>
        </w:rPr>
        <w:t>ТЕХНИЧЕСКОЕ ЗАДАНИЕ</w:t>
      </w:r>
    </w:p>
    <w:p w:rsidR="00832219" w:rsidRPr="003E010A" w:rsidRDefault="00832219" w:rsidP="003E010A">
      <w:pPr>
        <w:keepNext/>
        <w:widowControl w:val="0"/>
        <w:suppressAutoHyphens w:val="0"/>
      </w:pPr>
      <w:r w:rsidRPr="003E010A">
        <w:t>Наименование объекта закупки: Поставка слухов</w:t>
      </w:r>
      <w:r w:rsidR="00C4276C">
        <w:t>ых</w:t>
      </w:r>
      <w:r w:rsidRPr="003E010A">
        <w:t xml:space="preserve"> аппарат</w:t>
      </w:r>
      <w:r w:rsidR="00C4276C">
        <w:t>ов</w:t>
      </w:r>
      <w:r w:rsidRPr="003E010A">
        <w:t xml:space="preserve"> костной </w:t>
      </w:r>
      <w:r w:rsidR="003E33C9">
        <w:t>проводимости (</w:t>
      </w:r>
      <w:proofErr w:type="spellStart"/>
      <w:r w:rsidR="003E33C9">
        <w:t>неимплантируемы</w:t>
      </w:r>
      <w:r w:rsidR="00C4276C">
        <w:t>х</w:t>
      </w:r>
      <w:proofErr w:type="spellEnd"/>
      <w:r w:rsidR="003E33C9">
        <w:t>)</w:t>
      </w:r>
      <w:r w:rsidRPr="003E010A">
        <w:t>.</w:t>
      </w:r>
    </w:p>
    <w:p w:rsidR="00832219" w:rsidRPr="003E010A" w:rsidRDefault="00832219" w:rsidP="00832219">
      <w:pPr>
        <w:keepNext/>
        <w:widowControl w:val="0"/>
        <w:suppressAutoHyphens w:val="0"/>
        <w:ind w:firstLine="868"/>
        <w:contextualSpacing/>
        <w:jc w:val="both"/>
      </w:pP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7176"/>
        <w:gridCol w:w="1498"/>
      </w:tblGrid>
      <w:tr w:rsidR="00832219" w:rsidRPr="003E010A" w:rsidTr="003131BF">
        <w:trPr>
          <w:trHeight w:val="461"/>
          <w:jc w:val="center"/>
        </w:trPr>
        <w:tc>
          <w:tcPr>
            <w:tcW w:w="13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3131BF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</w:pPr>
            <w:r w:rsidRPr="003E010A">
              <w:t>Наименование закупаемого товара</w:t>
            </w:r>
          </w:p>
        </w:tc>
        <w:tc>
          <w:tcPr>
            <w:tcW w:w="717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3131BF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</w:pPr>
            <w:r w:rsidRPr="003E010A">
              <w:t>Описание функциональных и технических характеристик</w:t>
            </w:r>
          </w:p>
          <w:p w:rsidR="00832219" w:rsidRPr="003E010A" w:rsidRDefault="00832219" w:rsidP="003131BF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</w:pPr>
            <w:r w:rsidRPr="003E010A">
              <w:t>закупаемого товара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832219" w:rsidRPr="003E010A" w:rsidRDefault="00832219" w:rsidP="003131BF">
            <w:pPr>
              <w:pStyle w:val="24"/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ind w:left="-67" w:right="-78"/>
              <w:jc w:val="center"/>
              <w:rPr>
                <w:bCs/>
                <w:sz w:val="20"/>
                <w:szCs w:val="20"/>
              </w:rPr>
            </w:pPr>
            <w:r w:rsidRPr="003E010A">
              <w:rPr>
                <w:bCs/>
                <w:sz w:val="20"/>
                <w:szCs w:val="20"/>
              </w:rPr>
              <w:t>Количество</w:t>
            </w:r>
          </w:p>
          <w:p w:rsidR="00832219" w:rsidRPr="003E010A" w:rsidRDefault="00832219" w:rsidP="003131BF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  <w:rPr>
                <w:bCs/>
              </w:rPr>
            </w:pPr>
            <w:r w:rsidRPr="003E010A">
              <w:rPr>
                <w:bCs/>
              </w:rPr>
              <w:t>закупаемого товара (шт.)</w:t>
            </w:r>
          </w:p>
        </w:tc>
      </w:tr>
      <w:tr w:rsidR="00832219" w:rsidRPr="003E010A" w:rsidTr="003131BF">
        <w:trPr>
          <w:trHeight w:val="461"/>
          <w:jc w:val="center"/>
        </w:trPr>
        <w:tc>
          <w:tcPr>
            <w:tcW w:w="13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3131BF">
            <w:pPr>
              <w:keepNext/>
              <w:widowControl w:val="0"/>
              <w:suppressAutoHyphens w:val="0"/>
              <w:snapToGrid w:val="0"/>
              <w:ind w:left="-52" w:right="-13"/>
              <w:jc w:val="center"/>
            </w:pPr>
            <w:r w:rsidRPr="003E010A">
              <w:t>Слуховой аппарат костной проводимости (</w:t>
            </w:r>
            <w:proofErr w:type="spellStart"/>
            <w:r w:rsidRPr="003E010A">
              <w:t>неимплантируемый</w:t>
            </w:r>
            <w:proofErr w:type="spellEnd"/>
            <w:r w:rsidRPr="003E010A">
              <w:t>)</w:t>
            </w:r>
          </w:p>
          <w:p w:rsidR="00832219" w:rsidRPr="003E010A" w:rsidRDefault="00832219" w:rsidP="003131BF">
            <w:pPr>
              <w:keepNext/>
              <w:widowControl w:val="0"/>
              <w:suppressAutoHyphens w:val="0"/>
              <w:snapToGrid w:val="0"/>
              <w:ind w:left="-67" w:right="-78"/>
              <w:jc w:val="center"/>
            </w:pPr>
          </w:p>
        </w:tc>
        <w:tc>
          <w:tcPr>
            <w:tcW w:w="717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left="-57" w:right="-57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Наличие: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способ обработки сигналов – цифровой,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способ настройки – цифровой,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-принцип работы - костное проведение звука,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-тип фиксации на голове пользователя - Бандажный фиксатор (мягкая головная лента),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-встроенный направленный микрофон,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система адаптивного шумоподавление,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- кнопка переключения программ, 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система динамического подавления обратной связи;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защита от резких громких звуков,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многополосная автоматическая адаптивная система направленности,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компрессия широкого динамического диапазона,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-стратегии кодирования, разработанные для: смешанной потери слуха, </w:t>
            </w:r>
            <w:proofErr w:type="spellStart"/>
            <w:r w:rsidRPr="007D5D55">
              <w:rPr>
                <w:kern w:val="2"/>
                <w:sz w:val="22"/>
                <w:szCs w:val="22"/>
                <w:lang w:eastAsia="ru-RU"/>
              </w:rPr>
              <w:t>кондуктивной</w:t>
            </w:r>
            <w:proofErr w:type="spellEnd"/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потери слуха, односторонней </w:t>
            </w:r>
            <w:proofErr w:type="spellStart"/>
            <w:r w:rsidRPr="007D5D55">
              <w:rPr>
                <w:kern w:val="2"/>
                <w:sz w:val="22"/>
                <w:szCs w:val="22"/>
                <w:lang w:eastAsia="ru-RU"/>
              </w:rPr>
              <w:t>сенсоневральной</w:t>
            </w:r>
            <w:proofErr w:type="spellEnd"/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глухоты, 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функция измерения прямой костной проводимости,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- </w:t>
            </w:r>
            <w:r w:rsidRPr="007D5D55">
              <w:rPr>
                <w:kern w:val="2"/>
                <w:sz w:val="22"/>
                <w:szCs w:val="22"/>
                <w:lang w:val="en-US" w:eastAsia="ru-RU"/>
              </w:rPr>
              <w:t>FM</w:t>
            </w: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совместимость </w:t>
            </w:r>
            <w:r w:rsidRPr="007D5D55">
              <w:rPr>
                <w:kern w:val="2"/>
                <w:sz w:val="22"/>
                <w:szCs w:val="22"/>
                <w:u w:val="single"/>
                <w:lang w:eastAsia="ru-RU"/>
              </w:rPr>
              <w:t>посредством беспроводного соединения</w:t>
            </w:r>
            <w:r w:rsidRPr="007D5D55">
              <w:rPr>
                <w:kern w:val="2"/>
                <w:sz w:val="22"/>
                <w:szCs w:val="22"/>
                <w:lang w:eastAsia="ru-RU"/>
              </w:rPr>
              <w:t>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кнопка переключения программ,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тип воздушно-цинкового элемента питания № 13,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автоматическая регулировка усиления,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- система динамического подавления обратной связи, 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автоматическая система шумоподавления,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регулятор громкости,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- программируемые параметры: общее усиление, регулировка (ограничение) </w:t>
            </w:r>
            <w:r w:rsidRPr="007D5D55">
              <w:rPr>
                <w:kern w:val="2"/>
                <w:sz w:val="22"/>
                <w:szCs w:val="22"/>
                <w:u w:val="single"/>
                <w:lang w:eastAsia="ru-RU"/>
              </w:rPr>
              <w:t>ВУС</w:t>
            </w: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в каждом из каналов, количество программ, режим работы микрофонов, режим работы системы шумоподавления.</w:t>
            </w:r>
          </w:p>
          <w:p w:rsidR="00832219" w:rsidRPr="00A35B1B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- комплектация: головной бандаж.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u w:val="single"/>
                <w:lang w:eastAsia="ru-RU"/>
              </w:rPr>
              <w:t xml:space="preserve">Максимальный ВУС 90 (пиковый ВУС 90 дБ УЗД),  </w:t>
            </w:r>
            <w:r w:rsidRPr="007D5D55">
              <w:rPr>
                <w:kern w:val="2"/>
                <w:sz w:val="22"/>
                <w:szCs w:val="22"/>
                <w:lang w:eastAsia="ru-RU"/>
              </w:rPr>
              <w:t>не менее 120 дБ,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u w:val="single"/>
                <w:lang w:eastAsia="ru-RU"/>
              </w:rPr>
              <w:t>Максимальный ВУC 60 (пиковый ВУС 60 дБ УЗД)</w:t>
            </w: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 не более 110 дБ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Кол-во каналов цифровой обработки звука не менее 8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Кол-во программ прослушивания не менее 4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Диапазон </w:t>
            </w:r>
            <w:r w:rsidRPr="007D5D55">
              <w:rPr>
                <w:rFonts w:eastAsia="Arial Unicode MS"/>
                <w:kern w:val="16"/>
                <w:sz w:val="22"/>
                <w:szCs w:val="22"/>
                <w:lang w:eastAsia="zh-CN" w:bidi="hi-IN"/>
              </w:rPr>
              <w:t xml:space="preserve">обрабатываемых </w:t>
            </w:r>
            <w:r w:rsidRPr="007D5D55">
              <w:rPr>
                <w:kern w:val="2"/>
                <w:sz w:val="22"/>
                <w:szCs w:val="22"/>
                <w:lang w:eastAsia="ru-RU"/>
              </w:rPr>
              <w:t>частот не уже 0,125 - 8,0 кГц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Коэффициент гармоник - не более 3%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>Уровень собственных шумов не более 26 дБ</w:t>
            </w:r>
          </w:p>
          <w:p w:rsidR="007D5D55" w:rsidRPr="007D5D55" w:rsidRDefault="007D5D55" w:rsidP="007D5D55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7D5D55">
              <w:rPr>
                <w:kern w:val="2"/>
                <w:sz w:val="22"/>
                <w:szCs w:val="22"/>
                <w:lang w:eastAsia="ru-RU"/>
              </w:rPr>
              <w:t xml:space="preserve">Задержка обработки и передачи сигнала не более 6 </w:t>
            </w:r>
            <w:proofErr w:type="spellStart"/>
            <w:r w:rsidRPr="007D5D55">
              <w:rPr>
                <w:kern w:val="2"/>
                <w:sz w:val="22"/>
                <w:szCs w:val="22"/>
                <w:lang w:eastAsia="ru-RU"/>
              </w:rPr>
              <w:t>мс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832219" w:rsidRPr="00A26B74" w:rsidRDefault="007074D9" w:rsidP="003131BF">
            <w:pPr>
              <w:keepNext/>
              <w:widowControl w:val="0"/>
              <w:suppressAutoHyphens w:val="0"/>
              <w:ind w:left="-67" w:right="-7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0129EF" w:rsidRPr="003E010A" w:rsidTr="003131BF">
        <w:trPr>
          <w:trHeight w:val="461"/>
          <w:jc w:val="center"/>
        </w:trPr>
        <w:tc>
          <w:tcPr>
            <w:tcW w:w="13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129EF" w:rsidRPr="000129EF" w:rsidRDefault="000129EF" w:rsidP="003131BF">
            <w:pPr>
              <w:keepNext/>
              <w:widowControl w:val="0"/>
              <w:suppressAutoHyphens w:val="0"/>
              <w:snapToGrid w:val="0"/>
              <w:ind w:left="-52" w:right="-13"/>
              <w:jc w:val="center"/>
            </w:pPr>
            <w:r>
              <w:t>ИТОГО:</w:t>
            </w:r>
          </w:p>
        </w:tc>
        <w:tc>
          <w:tcPr>
            <w:tcW w:w="717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129EF" w:rsidRPr="003E010A" w:rsidRDefault="000129EF" w:rsidP="003131BF">
            <w:pPr>
              <w:jc w:val="both"/>
              <w:rPr>
                <w:lang w:val="en-US" w:eastAsia="ru-RU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129EF" w:rsidRPr="003814D0" w:rsidRDefault="007074D9" w:rsidP="003131BF">
            <w:pPr>
              <w:keepNext/>
              <w:widowControl w:val="0"/>
              <w:suppressAutoHyphens w:val="0"/>
              <w:ind w:left="-67" w:right="-7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</w:tbl>
    <w:p w:rsidR="00832219" w:rsidRPr="003E010A" w:rsidRDefault="00832219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480112" w:rsidRDefault="009F155B" w:rsidP="009F155B">
      <w:pPr>
        <w:keepNext/>
        <w:widowControl w:val="0"/>
        <w:suppressAutoHyphens w:val="0"/>
        <w:ind w:right="-13"/>
        <w:jc w:val="both"/>
      </w:pPr>
      <w:r w:rsidRPr="009F155B">
        <w:t xml:space="preserve">               </w:t>
      </w:r>
      <w:r w:rsidR="00480112">
        <w:t>Гарантийный срок 12 месяцев.</w:t>
      </w:r>
    </w:p>
    <w:p w:rsidR="009F155B" w:rsidRPr="003E010A" w:rsidRDefault="008872E1" w:rsidP="00480112">
      <w:pPr>
        <w:keepNext/>
        <w:widowControl w:val="0"/>
        <w:suppressAutoHyphens w:val="0"/>
        <w:ind w:right="-13" w:firstLine="708"/>
        <w:jc w:val="both"/>
      </w:pPr>
      <w:r w:rsidRPr="008872E1">
        <w:t>Срок пользования товаром</w:t>
      </w:r>
      <w:r w:rsidR="00480112">
        <w:t xml:space="preserve"> – 4 года,</w:t>
      </w:r>
      <w:r w:rsidRPr="008872E1">
        <w:t xml:space="preserve"> устанавливается в соответствии с Приказом Минтруда России от 13.02.2018 № 85 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32219" w:rsidRPr="003E010A" w:rsidRDefault="00832219" w:rsidP="009F155B">
      <w:pPr>
        <w:keepNext/>
        <w:widowControl w:val="0"/>
        <w:tabs>
          <w:tab w:val="left" w:pos="9214"/>
        </w:tabs>
        <w:suppressAutoHyphens w:val="0"/>
        <w:ind w:right="31" w:firstLine="854"/>
        <w:contextualSpacing/>
        <w:jc w:val="both"/>
      </w:pPr>
      <w:r w:rsidRPr="003E010A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832219" w:rsidRPr="003E010A" w:rsidRDefault="00832219" w:rsidP="00832219">
      <w:pPr>
        <w:keepNext/>
        <w:widowControl w:val="0"/>
        <w:suppressAutoHyphens w:val="0"/>
        <w:ind w:right="-65" w:firstLine="854"/>
        <w:jc w:val="both"/>
      </w:pPr>
      <w:r w:rsidRPr="003E010A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50444-92 «Приборы, аппараты и оборудование медицинские», ГОСТ Р 51264-99 «Средства связи, информатики и сигнализации реабилитационные электронные. Общие технические условия», </w:t>
      </w:r>
      <w:hyperlink r:id="rId4" w:history="1">
        <w:r w:rsidRPr="003E010A">
          <w:t>ГОСТ Р 51632-2014</w:t>
        </w:r>
      </w:hyperlink>
      <w:r w:rsidRPr="003E010A">
        <w:t xml:space="preserve"> «Технические средства реабилитации людей с ограничениями жизнедеятельности. Общие технические </w:t>
      </w:r>
      <w:r w:rsidRPr="003E010A">
        <w:lastRenderedPageBreak/>
        <w:t>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Классификация технических средств реабилитации (для слухового аппарата костной проводимости (</w:t>
      </w:r>
      <w:proofErr w:type="spellStart"/>
      <w:r w:rsidRPr="003E010A">
        <w:t>неимплантируемый</w:t>
      </w:r>
      <w:proofErr w:type="spellEnd"/>
      <w:proofErr w:type="gramStart"/>
      <w:r w:rsidRPr="003E010A">
        <w:t>))  людей</w:t>
      </w:r>
      <w:proofErr w:type="gramEnd"/>
      <w:r w:rsidRPr="003E010A">
        <w:t xml:space="preserve"> с ограничениями жизнедеятельности представлена в Национальном стандарте Российской Федерации </w:t>
      </w:r>
      <w:r w:rsidRPr="003E010A">
        <w:rPr>
          <w:bCs/>
        </w:rPr>
        <w:t>ГОСТ Р ИСО 9999-2014 «Вспомогательные средства для людей с ограничениями жизнедеятельности. Классификация и терминология</w:t>
      </w:r>
      <w:r w:rsidRPr="003E010A">
        <w:t xml:space="preserve">»). </w:t>
      </w:r>
    </w:p>
    <w:p w:rsidR="00832219" w:rsidRPr="003E010A" w:rsidRDefault="00832219" w:rsidP="00832219">
      <w:pPr>
        <w:keepNext/>
        <w:widowControl w:val="0"/>
        <w:suppressAutoHyphens w:val="0"/>
        <w:ind w:right="-65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32219" w:rsidRPr="003E010A" w:rsidRDefault="00832219" w:rsidP="0083221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right="31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32219" w:rsidRPr="003E010A" w:rsidRDefault="00832219" w:rsidP="0083221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right="31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>-безопасность для кожных покровов;</w:t>
      </w:r>
    </w:p>
    <w:p w:rsidR="00832219" w:rsidRPr="003E010A" w:rsidRDefault="00832219" w:rsidP="0083221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right="31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>-простота пользования.</w:t>
      </w:r>
    </w:p>
    <w:p w:rsidR="00832219" w:rsidRPr="003E010A" w:rsidRDefault="00832219" w:rsidP="0083221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right="31" w:firstLine="854"/>
        <w:jc w:val="both"/>
      </w:pPr>
      <w:r w:rsidRPr="003E010A">
        <w:rPr>
          <w:rFonts w:eastAsia="Lucida Sans Unicode"/>
          <w:kern w:val="1"/>
        </w:rPr>
        <w:t xml:space="preserve">Товар не должен выделять при эксплуатации токсичных и агрессивных веществ. </w:t>
      </w:r>
    </w:p>
    <w:p w:rsidR="00832219" w:rsidRPr="003E010A" w:rsidRDefault="00832219" w:rsidP="0083221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right="31" w:firstLine="854"/>
        <w:jc w:val="both"/>
      </w:pPr>
      <w:r w:rsidRPr="003E010A"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3E010A">
        <w:t>сурдологии</w:t>
      </w:r>
      <w:proofErr w:type="spellEnd"/>
      <w:r w:rsidRPr="003E010A">
        <w:t xml:space="preserve"> – оториноларингологии (Федеральный закон от 04.05.2011 г. № 99-ФЗ «О лицензировании отдельных видов деятельности»; 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21AA9">
        <w:t>Сколково</w:t>
      </w:r>
      <w:proofErr w:type="spellEnd"/>
      <w:r w:rsidRPr="00821AA9">
        <w:t xml:space="preserve">") или осуществление участником закупки (соисполнителем) деятельности по </w:t>
      </w:r>
      <w:proofErr w:type="spellStart"/>
      <w:r w:rsidRPr="00821AA9">
        <w:t>слухопротезированию</w:t>
      </w:r>
      <w:proofErr w:type="spellEnd"/>
      <w:r w:rsidRPr="00821AA9">
        <w:t xml:space="preserve"> в соответствии с профессиональным стандартом «Специалист в области </w:t>
      </w:r>
      <w:proofErr w:type="spellStart"/>
      <w:r w:rsidRPr="00821AA9">
        <w:t>слухопротезирования</w:t>
      </w:r>
      <w:proofErr w:type="spellEnd"/>
      <w:r w:rsidRPr="00821AA9">
        <w:t xml:space="preserve"> (</w:t>
      </w:r>
      <w:proofErr w:type="spellStart"/>
      <w:r w:rsidRPr="00821AA9">
        <w:t>сурдоакустик</w:t>
      </w:r>
      <w:proofErr w:type="spellEnd"/>
      <w:r w:rsidRPr="00821AA9">
        <w:t>)», утвержденным приказом Министерства труда и социальной защиты Российской Федерации от 10.05.2016 г. №226н, зарегистрированным в Минюсте России 30.05.2016 г. №42332».</w:t>
      </w:r>
    </w:p>
    <w:p w:rsidR="00832219" w:rsidRPr="003E010A" w:rsidRDefault="00832219" w:rsidP="00832219">
      <w:pPr>
        <w:keepNext/>
        <w:widowControl w:val="0"/>
        <w:ind w:firstLine="854"/>
        <w:jc w:val="both"/>
      </w:pPr>
      <w:r w:rsidRPr="003E010A">
        <w:t>Каждый слуховой аппарат костной проводимости должен быть упакован в индивидуальную транспортную тару с внутренней влагонепроницаемой бумагой.</w:t>
      </w:r>
    </w:p>
    <w:p w:rsidR="00832219" w:rsidRPr="003E010A" w:rsidRDefault="00832219" w:rsidP="00832219">
      <w:pPr>
        <w:keepNext/>
        <w:widowControl w:val="0"/>
        <w:tabs>
          <w:tab w:val="left" w:pos="851"/>
          <w:tab w:val="left" w:pos="9214"/>
        </w:tabs>
        <w:suppressAutoHyphens w:val="0"/>
        <w:ind w:right="31" w:firstLine="854"/>
        <w:jc w:val="both"/>
      </w:pPr>
      <w:r w:rsidRPr="003E010A"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832219" w:rsidRPr="003E010A" w:rsidRDefault="00832219" w:rsidP="00832219">
      <w:pPr>
        <w:keepNext/>
        <w:widowControl w:val="0"/>
        <w:tabs>
          <w:tab w:val="left" w:pos="851"/>
          <w:tab w:val="left" w:pos="9214"/>
        </w:tabs>
        <w:suppressAutoHyphens w:val="0"/>
        <w:ind w:right="31" w:firstLine="854"/>
        <w:jc w:val="both"/>
      </w:pPr>
      <w:r w:rsidRPr="003E010A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32219" w:rsidRPr="003E010A" w:rsidRDefault="00832219" w:rsidP="00832219">
      <w:pPr>
        <w:keepNext/>
        <w:widowControl w:val="0"/>
        <w:ind w:right="31" w:firstLine="854"/>
        <w:jc w:val="both"/>
      </w:pPr>
      <w:r w:rsidRPr="003E010A"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832219" w:rsidRPr="003E010A" w:rsidRDefault="00832219" w:rsidP="00832219">
      <w:pPr>
        <w:keepNext/>
        <w:widowControl w:val="0"/>
        <w:tabs>
          <w:tab w:val="left" w:pos="851"/>
        </w:tabs>
        <w:ind w:right="31" w:firstLine="854"/>
        <w:jc w:val="both"/>
      </w:pPr>
      <w:r w:rsidRPr="003E010A">
        <w:t>Хранение товара должно осуществляться в соответствии с требованиями, предъявляемыми к данной категории товара.</w:t>
      </w:r>
    </w:p>
    <w:p w:rsidR="00832219" w:rsidRPr="003E010A" w:rsidRDefault="00832219" w:rsidP="00832219">
      <w:pPr>
        <w:keepNext/>
        <w:widowControl w:val="0"/>
        <w:tabs>
          <w:tab w:val="left" w:pos="720"/>
          <w:tab w:val="left" w:pos="9214"/>
        </w:tabs>
        <w:suppressAutoHyphens w:val="0"/>
        <w:ind w:right="31" w:firstLine="854"/>
        <w:jc w:val="both"/>
      </w:pPr>
      <w:r w:rsidRPr="003E010A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32219" w:rsidRPr="003E010A" w:rsidRDefault="00832219" w:rsidP="00832219">
      <w:pPr>
        <w:keepNext/>
        <w:widowControl w:val="0"/>
        <w:tabs>
          <w:tab w:val="left" w:pos="720"/>
        </w:tabs>
        <w:autoSpaceDE w:val="0"/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 xml:space="preserve">В течение гарантийного срока в случае обнаружения Получателем недостатка товара, Поставщиком, либо уполномоченным представителем должны быть обеспечены замена товара на товар той же модели, либо безвозмездное устранение недостатков товара. </w:t>
      </w:r>
    </w:p>
    <w:p w:rsidR="00832219" w:rsidRPr="003E010A" w:rsidRDefault="00832219" w:rsidP="00832219">
      <w:pPr>
        <w:keepNext/>
        <w:widowControl w:val="0"/>
        <w:tabs>
          <w:tab w:val="left" w:pos="720"/>
        </w:tabs>
        <w:autoSpaceDE w:val="0"/>
        <w:ind w:firstLine="854"/>
        <w:jc w:val="both"/>
      </w:pPr>
      <w:r w:rsidRPr="003E010A">
        <w:rPr>
          <w:rFonts w:eastAsia="Lucida Sans Unicode"/>
          <w:bCs/>
          <w:lang w:eastAsia="en-US" w:bidi="en-US"/>
        </w:rPr>
        <w:t xml:space="preserve">При этом срок безвозмездного устранения недостатков товара (гарантийного ремонта) со дня обращения Получателя не должен превышать 20 рабочих дней. </w:t>
      </w:r>
    </w:p>
    <w:p w:rsidR="00832219" w:rsidRPr="003E010A" w:rsidRDefault="00832219" w:rsidP="00832219">
      <w:pPr>
        <w:keepNext/>
        <w:widowControl w:val="0"/>
        <w:ind w:firstLine="854"/>
        <w:jc w:val="both"/>
      </w:pPr>
      <w:r w:rsidRPr="003E010A">
        <w:rPr>
          <w:rFonts w:eastAsia="Lucida Sans Unicode"/>
          <w:bCs/>
          <w:lang w:eastAsia="en-US" w:bidi="en-US"/>
        </w:rPr>
        <w:t xml:space="preserve">При получении товара на гарантийный ремонт Поставщик обязан выдать Получателю документ, подтверждающий получение товара. 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Поставщик обязан за свой счет обеспечить возможность приемки товара на гарантийный ремонт по фактическому месту проживания Получателя в течение 3-х рабочих дней с момента получения сообщения о такой необходимости от Заказчика или Получателя.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Доставка товара до Получателя осуществляется по месту фактического проживания Получателя в срок не позднее 15 рабочих дней после окончания гарантийного ремонта за счет средств Поставщика.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 xml:space="preserve">Поставщик либо уполномоченный представитель при предъявлении Получателем требования обязаны в 3-х </w:t>
      </w:r>
      <w:proofErr w:type="spellStart"/>
      <w:r w:rsidRPr="003E010A">
        <w:rPr>
          <w:rFonts w:eastAsia="Lucida Sans Unicode"/>
          <w:bCs/>
          <w:lang w:eastAsia="en-US" w:bidi="en-US"/>
        </w:rPr>
        <w:t>дневный</w:t>
      </w:r>
      <w:proofErr w:type="spellEnd"/>
      <w:r w:rsidRPr="003E010A">
        <w:rPr>
          <w:rFonts w:eastAsia="Lucida Sans Unicode"/>
          <w:bCs/>
          <w:lang w:eastAsia="en-US" w:bidi="en-US"/>
        </w:rPr>
        <w:t xml:space="preserve"> срок безвозмездно предоставить Получателю товар на период ремонта, обладающий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Обязательно наличие гарантийных талонов,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г. № 2300-1 «О защите прав потребителей».</w:t>
      </w:r>
    </w:p>
    <w:p w:rsidR="003131BF" w:rsidRPr="003131BF" w:rsidRDefault="00832219" w:rsidP="003131BF">
      <w:pPr>
        <w:keepNext/>
        <w:widowControl w:val="0"/>
        <w:tabs>
          <w:tab w:val="left" w:pos="720"/>
        </w:tabs>
        <w:suppressAutoHyphens w:val="0"/>
        <w:ind w:firstLine="854"/>
        <w:jc w:val="both"/>
      </w:pPr>
      <w:r w:rsidRPr="003E010A">
        <w:t xml:space="preserve">Товар должен быть поставлен в количестве и в сроки, предусмотренные настоящей документацией об аукционе. </w:t>
      </w:r>
    </w:p>
    <w:p w:rsidR="003131BF" w:rsidRPr="003131BF" w:rsidRDefault="003131BF" w:rsidP="003131BF">
      <w:pPr>
        <w:keepNext/>
        <w:widowControl w:val="0"/>
        <w:tabs>
          <w:tab w:val="left" w:pos="720"/>
        </w:tabs>
        <w:suppressAutoHyphens w:val="0"/>
        <w:ind w:firstLine="854"/>
        <w:jc w:val="both"/>
      </w:pPr>
      <w:r w:rsidRPr="003131BF">
        <w:rPr>
          <w:color w:val="000000"/>
        </w:rPr>
        <w:lastRenderedPageBreak/>
        <w:t xml:space="preserve">Срок поставки Товара Получателям: в </w:t>
      </w:r>
      <w:r w:rsidRPr="003131BF">
        <w:rPr>
          <w:b/>
          <w:color w:val="000000"/>
        </w:rPr>
        <w:t>течение 30 (тридцати) календарных дней с момента обращения Получателя к Поставщику с направлением выданным Заказчиком.</w:t>
      </w:r>
      <w:r w:rsidRPr="003131BF">
        <w:t xml:space="preserve"> </w:t>
      </w:r>
    </w:p>
    <w:p w:rsidR="003131BF" w:rsidRPr="003131BF" w:rsidRDefault="003131BF" w:rsidP="003131BF">
      <w:pPr>
        <w:keepNext/>
        <w:widowControl w:val="0"/>
        <w:tabs>
          <w:tab w:val="left" w:pos="3495"/>
        </w:tabs>
        <w:suppressAutoHyphens w:val="0"/>
        <w:jc w:val="both"/>
        <w:rPr>
          <w:color w:val="000000"/>
        </w:rPr>
      </w:pPr>
      <w:r w:rsidRPr="003131BF">
        <w:rPr>
          <w:color w:val="000000"/>
        </w:rPr>
        <w:t xml:space="preserve">              Место поставки Товара осуществляется:</w:t>
      </w:r>
    </w:p>
    <w:p w:rsidR="003131BF" w:rsidRPr="003131BF" w:rsidRDefault="003131BF" w:rsidP="003131BF">
      <w:pPr>
        <w:keepNext/>
        <w:widowControl w:val="0"/>
        <w:tabs>
          <w:tab w:val="left" w:pos="3495"/>
        </w:tabs>
        <w:suppressAutoHyphens w:val="0"/>
        <w:jc w:val="both"/>
        <w:rPr>
          <w:color w:val="000000"/>
        </w:rPr>
      </w:pPr>
      <w:r w:rsidRPr="003131BF">
        <w:rPr>
          <w:color w:val="000000"/>
        </w:rPr>
        <w:t xml:space="preserve"> - по </w:t>
      </w:r>
      <w:r w:rsidRPr="003131BF">
        <w:rPr>
          <w:lang w:eastAsia="ru-RU"/>
        </w:rPr>
        <w:t>месту жительства Получателей,</w:t>
      </w:r>
    </w:p>
    <w:p w:rsidR="00C4276C" w:rsidRPr="00C4276C" w:rsidRDefault="003131BF" w:rsidP="003131BF">
      <w:pPr>
        <w:keepNext/>
        <w:tabs>
          <w:tab w:val="left" w:pos="709"/>
          <w:tab w:val="left" w:pos="3495"/>
        </w:tabs>
        <w:spacing w:line="100" w:lineRule="atLeast"/>
        <w:jc w:val="both"/>
      </w:pPr>
      <w:r w:rsidRPr="003131BF">
        <w:rPr>
          <w:color w:val="000000"/>
          <w:lang w:eastAsia="ru-RU"/>
        </w:rPr>
        <w:t>- по месту нахождения Поставщика.</w:t>
      </w:r>
    </w:p>
    <w:p w:rsidR="00832219" w:rsidRDefault="00C4276C" w:rsidP="00C4276C">
      <w:pPr>
        <w:keepNext/>
        <w:widowControl w:val="0"/>
        <w:suppressAutoHyphens w:val="0"/>
        <w:ind w:right="31" w:firstLine="708"/>
        <w:contextualSpacing/>
        <w:jc w:val="both"/>
      </w:pPr>
      <w:r w:rsidRPr="00C4276C">
        <w:rPr>
          <w:lang w:eastAsia="ru-RU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</w:t>
      </w:r>
      <w:r w:rsidRPr="00C4276C">
        <w:rPr>
          <w:rFonts w:ascii="Calibri" w:hAnsi="Calibri"/>
          <w:sz w:val="22"/>
          <w:szCs w:val="22"/>
          <w:lang w:eastAsia="ru-RU"/>
        </w:rPr>
        <w:t>.</w:t>
      </w:r>
    </w:p>
    <w:p w:rsidR="00A17E83" w:rsidRDefault="00A17E83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A17E83" w:rsidRDefault="00A17E83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B913A7" w:rsidRPr="003E010A" w:rsidRDefault="00B913A7">
      <w:bookmarkStart w:id="0" w:name="_GoBack"/>
      <w:bookmarkEnd w:id="0"/>
    </w:p>
    <w:sectPr w:rsidR="00B913A7" w:rsidRPr="003E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D0"/>
    <w:rsid w:val="000129EF"/>
    <w:rsid w:val="00024B44"/>
    <w:rsid w:val="001D477C"/>
    <w:rsid w:val="00305235"/>
    <w:rsid w:val="003131BF"/>
    <w:rsid w:val="003814D0"/>
    <w:rsid w:val="00392625"/>
    <w:rsid w:val="003E010A"/>
    <w:rsid w:val="003E33C9"/>
    <w:rsid w:val="004342CC"/>
    <w:rsid w:val="00480112"/>
    <w:rsid w:val="004B6A2B"/>
    <w:rsid w:val="005C5442"/>
    <w:rsid w:val="00624D8A"/>
    <w:rsid w:val="006F6CDF"/>
    <w:rsid w:val="007074D9"/>
    <w:rsid w:val="00722842"/>
    <w:rsid w:val="007B0642"/>
    <w:rsid w:val="007B59D0"/>
    <w:rsid w:val="007D5D55"/>
    <w:rsid w:val="007E127E"/>
    <w:rsid w:val="00800836"/>
    <w:rsid w:val="00821AA9"/>
    <w:rsid w:val="00832219"/>
    <w:rsid w:val="008872E1"/>
    <w:rsid w:val="00893CA5"/>
    <w:rsid w:val="009150C3"/>
    <w:rsid w:val="00925379"/>
    <w:rsid w:val="009A1488"/>
    <w:rsid w:val="009F155B"/>
    <w:rsid w:val="00A17E83"/>
    <w:rsid w:val="00A26B74"/>
    <w:rsid w:val="00A35B1B"/>
    <w:rsid w:val="00A53DFB"/>
    <w:rsid w:val="00B913A7"/>
    <w:rsid w:val="00BC78A1"/>
    <w:rsid w:val="00BF0655"/>
    <w:rsid w:val="00BF470C"/>
    <w:rsid w:val="00C4276C"/>
    <w:rsid w:val="00C81916"/>
    <w:rsid w:val="00D441D2"/>
    <w:rsid w:val="00D7704C"/>
    <w:rsid w:val="00E40192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5DB0-225C-4E1C-BF04-6207B8A8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32219"/>
    <w:pPr>
      <w:jc w:val="both"/>
    </w:pPr>
    <w:rPr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4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gs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О.Н.</dc:creator>
  <cp:keywords/>
  <dc:description/>
  <cp:lastModifiedBy>Тратканова Анна Александровна</cp:lastModifiedBy>
  <cp:revision>33</cp:revision>
  <cp:lastPrinted>2017-08-01T10:04:00Z</cp:lastPrinted>
  <dcterms:created xsi:type="dcterms:W3CDTF">2017-05-31T11:36:00Z</dcterms:created>
  <dcterms:modified xsi:type="dcterms:W3CDTF">2019-08-07T09:17:00Z</dcterms:modified>
</cp:coreProperties>
</file>