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28569E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56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Изделия хозяйственные и санитарно-гигиенические. Поставка инвалидам </w:t>
      </w:r>
      <w:r w:rsidR="00F73F2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абсорбирующего белья</w:t>
      </w: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12777E">
        <w:rPr>
          <w:rFonts w:ascii="Times New Roman" w:eastAsia="Arial" w:hAnsi="Times New Roman" w:cs="Times New Roman"/>
          <w:szCs w:val="23"/>
          <w:lang w:eastAsia="ar-SA"/>
        </w:rPr>
        <w:t>,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Республики Крым </w:t>
      </w:r>
      <w:r w:rsidR="0012777E">
        <w:rPr>
          <w:rFonts w:ascii="Times New Roman" w:eastAsia="Arial" w:hAnsi="Times New Roman" w:cs="Times New Roman"/>
          <w:szCs w:val="23"/>
          <w:lang w:eastAsia="ar-SA"/>
        </w:rPr>
        <w:t xml:space="preserve">и города Севастополя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10 (десяти)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>рабочих дней с даты подписания Государственного контракта для осуществления проверки качества Товара.</w:t>
      </w:r>
      <w:proofErr w:type="gramEnd"/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4733"/>
        <w:gridCol w:w="1233"/>
        <w:gridCol w:w="920"/>
        <w:gridCol w:w="864"/>
        <w:gridCol w:w="1235"/>
      </w:tblGrid>
      <w:tr w:rsidR="0028569E" w:rsidRPr="0028569E" w:rsidTr="008D6C20">
        <w:tc>
          <w:tcPr>
            <w:tcW w:w="1471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4733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Наименование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Заказчика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28569E" w:rsidRPr="0028569E" w:rsidRDefault="0028569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28569E" w:rsidRPr="0028569E" w:rsidRDefault="0028569E" w:rsidP="0028569E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5C4047" w:rsidRPr="0028569E" w:rsidTr="008D6C20">
        <w:trPr>
          <w:trHeight w:val="3452"/>
        </w:trPr>
        <w:tc>
          <w:tcPr>
            <w:tcW w:w="1471" w:type="dxa"/>
            <w:vMerge w:val="restart"/>
            <w:shd w:val="clear" w:color="auto" w:fill="auto"/>
            <w:vAlign w:val="center"/>
          </w:tcPr>
          <w:p w:rsidR="005C4047" w:rsidRPr="00D84BB6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400 до 500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5C4047" w:rsidRPr="00A1347B" w:rsidRDefault="005C4047" w:rsidP="00481C4E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 xml:space="preserve">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3 990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11,43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45 605,70</w:t>
            </w:r>
          </w:p>
        </w:tc>
      </w:tr>
      <w:tr w:rsidR="005C4047" w:rsidRPr="0028569E" w:rsidTr="008D6C20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5C4047" w:rsidRPr="00D84BB6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5C4047" w:rsidRPr="00A1347B" w:rsidRDefault="005C4047" w:rsidP="0028569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2 100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12,36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C4047" w:rsidRPr="0028569E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25 956,00</w:t>
            </w:r>
          </w:p>
        </w:tc>
      </w:tr>
      <w:tr w:rsidR="005C4047" w:rsidRPr="0028569E" w:rsidTr="008D6C20">
        <w:trPr>
          <w:trHeight w:val="2679"/>
        </w:trPr>
        <w:tc>
          <w:tcPr>
            <w:tcW w:w="1471" w:type="dxa"/>
            <w:vMerge/>
            <w:shd w:val="clear" w:color="auto" w:fill="auto"/>
            <w:vAlign w:val="center"/>
          </w:tcPr>
          <w:p w:rsidR="005C4047" w:rsidRPr="00D84BB6" w:rsidRDefault="005C404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5C4047" w:rsidRPr="00A1347B" w:rsidRDefault="005C4047" w:rsidP="0028569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5C4047" w:rsidRPr="0028569E" w:rsidRDefault="00196B37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96B3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5C4047" w:rsidRDefault="00196B3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5C4047" w:rsidRDefault="00196B3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12,53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5C4047" w:rsidRDefault="00196B37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375,90</w:t>
            </w:r>
          </w:p>
        </w:tc>
      </w:tr>
      <w:tr w:rsidR="00DD3F95" w:rsidRPr="0028569E" w:rsidTr="008D6C20">
        <w:tc>
          <w:tcPr>
            <w:tcW w:w="1471" w:type="dxa"/>
            <w:vMerge w:val="restart"/>
            <w:shd w:val="clear" w:color="auto" w:fill="auto"/>
            <w:vAlign w:val="center"/>
          </w:tcPr>
          <w:p w:rsidR="00DD3F95" w:rsidRPr="00D84BB6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</w:t>
            </w:r>
            <w:proofErr w:type="spellStart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впитываемостью</w:t>
            </w:r>
            <w:proofErr w:type="spellEnd"/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от 800 до 1200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DD3F95" w:rsidRPr="00A1347B" w:rsidRDefault="00DD3F95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DD3F95" w:rsidRPr="00A1347B" w:rsidRDefault="00DD3F95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</w:t>
            </w:r>
          </w:p>
          <w:p w:rsidR="00DD3F95" w:rsidRPr="00A1347B" w:rsidRDefault="00DD3F95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</w:t>
            </w:r>
            <w:proofErr w:type="gramEnd"/>
          </w:p>
          <w:p w:rsidR="00DD3F95" w:rsidRPr="00A1347B" w:rsidRDefault="00DD3F95" w:rsidP="00A1347B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Место, условия 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23 940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13,53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323 908,20</w:t>
            </w:r>
          </w:p>
        </w:tc>
      </w:tr>
      <w:tr w:rsidR="00DD3F95" w:rsidRPr="0028569E" w:rsidTr="00DD3F95">
        <w:trPr>
          <w:trHeight w:val="3424"/>
        </w:trPr>
        <w:tc>
          <w:tcPr>
            <w:tcW w:w="1471" w:type="dxa"/>
            <w:vMerge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DD3F95" w:rsidRPr="0028569E" w:rsidRDefault="00DD3F95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13,54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121 860,00</w:t>
            </w:r>
          </w:p>
        </w:tc>
      </w:tr>
      <w:tr w:rsidR="00DD3F95" w:rsidRPr="0028569E" w:rsidTr="008D6C20">
        <w:tc>
          <w:tcPr>
            <w:tcW w:w="1471" w:type="dxa"/>
            <w:vMerge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DD3F95" w:rsidRPr="0028569E" w:rsidRDefault="00DD3F95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D3F95" w:rsidRPr="0028569E" w:rsidRDefault="00DD3F95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DD3F9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D3F95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1 800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D3F95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13,37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DD3F95" w:rsidRDefault="00DD3F95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24 066,00</w:t>
            </w:r>
          </w:p>
        </w:tc>
      </w:tr>
      <w:tr w:rsidR="0048360D" w:rsidRPr="0028569E" w:rsidTr="008D6C20">
        <w:tc>
          <w:tcPr>
            <w:tcW w:w="1471" w:type="dxa"/>
            <w:vMerge w:val="restart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</w:t>
            </w:r>
            <w:proofErr w:type="spellStart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впитываемостью</w:t>
            </w:r>
            <w:proofErr w:type="spellEnd"/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от 1200 до 1900 мл)</w:t>
            </w:r>
          </w:p>
        </w:tc>
        <w:tc>
          <w:tcPr>
            <w:tcW w:w="4733" w:type="dxa"/>
            <w:vMerge w:val="restart"/>
            <w:shd w:val="clear" w:color="auto" w:fill="auto"/>
          </w:tcPr>
          <w:p w:rsidR="0048360D" w:rsidRPr="00A1347B" w:rsidRDefault="0048360D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48360D" w:rsidRPr="00A1347B" w:rsidRDefault="0048360D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выщипывания</w:t>
            </w:r>
            <w:proofErr w:type="spell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отмарывания</w:t>
            </w:r>
            <w:proofErr w:type="spell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48360D" w:rsidRPr="00A1347B" w:rsidRDefault="0048360D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48360D" w:rsidRPr="0028569E" w:rsidRDefault="0048360D" w:rsidP="00A1347B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Место, условия </w:t>
            </w: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 сроки (периоды) поставки подгузников: Поставка осуществляется в соответствии с выбором Получателя, по месту проживания Получателя или по месту нахождения стационарных пунктов выдачи Товара, организованных Поставщиком  в течение 30 календарных дней с момента получения реестра Направлений, но  </w:t>
            </w:r>
            <w:r w:rsidRPr="00A1347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позднее 20.12.2019 г.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239 310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15,92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3 809 815,20</w:t>
            </w:r>
          </w:p>
        </w:tc>
      </w:tr>
      <w:tr w:rsidR="0048360D" w:rsidRPr="0028569E" w:rsidTr="00815F02">
        <w:trPr>
          <w:trHeight w:val="3804"/>
        </w:trPr>
        <w:tc>
          <w:tcPr>
            <w:tcW w:w="1471" w:type="dxa"/>
            <w:vMerge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8360D" w:rsidRPr="0028569E" w:rsidRDefault="0048360D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8360D" w:rsidRPr="0028569E" w:rsidRDefault="0048360D" w:rsidP="00F73F2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региональное отделение Фонда социального страхования Российской Федерации</w:t>
            </w:r>
          </w:p>
          <w:p w:rsidR="0048360D" w:rsidRPr="0028569E" w:rsidRDefault="0048360D" w:rsidP="00F73F2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 Крым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70 000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16,48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1 153 600,00</w:t>
            </w:r>
          </w:p>
        </w:tc>
      </w:tr>
      <w:tr w:rsidR="0048360D" w:rsidRPr="0028569E" w:rsidTr="008D6C20">
        <w:tc>
          <w:tcPr>
            <w:tcW w:w="1471" w:type="dxa"/>
            <w:vMerge/>
            <w:shd w:val="clear" w:color="auto" w:fill="auto"/>
            <w:vAlign w:val="center"/>
          </w:tcPr>
          <w:p w:rsidR="0048360D" w:rsidRPr="0028569E" w:rsidRDefault="0048360D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733" w:type="dxa"/>
            <w:vMerge/>
            <w:shd w:val="clear" w:color="auto" w:fill="auto"/>
          </w:tcPr>
          <w:p w:rsidR="0048360D" w:rsidRPr="0028569E" w:rsidRDefault="0048360D" w:rsidP="0028569E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48360D" w:rsidRPr="0028569E" w:rsidRDefault="00815F02" w:rsidP="00F73F29">
            <w:pPr>
              <w:suppressAutoHyphens/>
              <w:autoSpaceDN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815F02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Государственное учреждение – Севастопольское региональное отделение Фонда социального страхования Российской Федерации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48360D" w:rsidRDefault="00815F02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21 000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8360D" w:rsidRDefault="00815F02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15,76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8360D" w:rsidRDefault="00815F02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330 960,00</w:t>
            </w:r>
          </w:p>
        </w:tc>
      </w:tr>
      <w:tr w:rsidR="0028569E" w:rsidRPr="0028569E" w:rsidTr="008D6C20">
        <w:tc>
          <w:tcPr>
            <w:tcW w:w="6204" w:type="dxa"/>
            <w:gridSpan w:val="2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>ИТОГО:</w:t>
            </w:r>
          </w:p>
        </w:tc>
        <w:tc>
          <w:tcPr>
            <w:tcW w:w="1233" w:type="dxa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0" w:type="dxa"/>
            <w:shd w:val="clear" w:color="auto" w:fill="auto"/>
          </w:tcPr>
          <w:p w:rsidR="004516CE" w:rsidRPr="0028569E" w:rsidRDefault="004516CE" w:rsidP="004516C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371 170</w:t>
            </w:r>
          </w:p>
        </w:tc>
        <w:tc>
          <w:tcPr>
            <w:tcW w:w="864" w:type="dxa"/>
            <w:shd w:val="clear" w:color="auto" w:fill="auto"/>
          </w:tcPr>
          <w:p w:rsidR="0028569E" w:rsidRPr="0028569E" w:rsidRDefault="0028569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35" w:type="dxa"/>
            <w:shd w:val="clear" w:color="auto" w:fill="auto"/>
          </w:tcPr>
          <w:p w:rsidR="0028569E" w:rsidRPr="0028569E" w:rsidRDefault="004516C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5 836 147,00</w:t>
            </w:r>
          </w:p>
        </w:tc>
      </w:tr>
    </w:tbl>
    <w:p w:rsidR="0028569E" w:rsidRPr="0028569E" w:rsidRDefault="008B46FD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8569E"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28569E" w:rsidRPr="0028569E" w:rsidRDefault="0028569E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8569E" w:rsidRPr="0028569E" w:rsidRDefault="0028569E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Ростовской области - Пункты выдачи должны быть организованы Поставщиком в г. Ростове-на-Дону, г. Новочеркасске, г. Таганроге, г. Волгодонске.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28569E" w:rsidRDefault="0028569E" w:rsidP="0028569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для инвалидов, проживающих на территории Республики Крым - Пункты выдачи должны быть организованы Поставщиком в городе Симферополе. Дополнительные пункты выдачи, по согласованию с Заказчиком, могут быть организованы в иных городах и населенных пунктах Республики Крым по выбору </w:t>
      </w:r>
      <w:r w:rsidR="00920B77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оставщика.</w:t>
      </w:r>
    </w:p>
    <w:p w:rsidR="00920B77" w:rsidRPr="0028569E" w:rsidRDefault="00A04E46" w:rsidP="0028569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инвалидов, проживающих в г. Севастополе - Пункт выдачи должен быть организован Поставщиком в городе Севастополе.</w:t>
      </w:r>
    </w:p>
    <w:p w:rsidR="0028569E" w:rsidRPr="0028569E" w:rsidRDefault="0028569E" w:rsidP="0028569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28569E" w:rsidRPr="0028569E" w:rsidRDefault="0028569E" w:rsidP="0028569E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28569E" w:rsidRPr="0028569E" w:rsidRDefault="0028569E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Поставка товара осуществляется непосредственно Получателю по месту жительства  в течение 30 (Тридцати) календарных дней с момента получения Реестров Направлений, сформированных по заявкам инвалидов, в соответствии выбором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не позднее 20.12.2019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28569E" w:rsidRPr="0028569E" w:rsidRDefault="0028569E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Куйбышевский районы, г. Белая Калитва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28569E" w:rsidRDefault="0028569E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Государственное учреждение – региональное отделение Фонда социального страхования Российской Федерации по Республике Крым: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Российская Федерация, Республика Крым, по месту 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жительства инвалидов: г. Симферополь, г. Феодосия, г. Евпатория, г. Белогорск, г. Бахчисарай, г. Судак, г. Саки, г. Ялта, г. Керчь, г. Алушта, г. Армянск, г. Джанкой, г. Красноперекопск, Красногвардейский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Нижегорский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Кировский район, Советский район, Черноморский район, Ленинский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Раздольненский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Первомайский район, Симферопольский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Джанкойский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Бахчисарайский район.</w:t>
      </w:r>
      <w:proofErr w:type="gramEnd"/>
    </w:p>
    <w:p w:rsidR="00A04E46" w:rsidRPr="0028569E" w:rsidRDefault="00A04E46" w:rsidP="00285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bookmarkStart w:id="0" w:name="_GoBack"/>
      <w:bookmarkEnd w:id="0"/>
      <w:r w:rsidRPr="00A04E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Государственное учреждение – Севастопольское региональное отделение Фонда социального страхования Российской Федерации: Российская Федерация, г. Севастополь, по месту жительства получателей.</w:t>
      </w:r>
    </w:p>
    <w:sectPr w:rsidR="00A04E46" w:rsidRPr="0028569E" w:rsidSect="0028569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12777E"/>
    <w:rsid w:val="00196B37"/>
    <w:rsid w:val="002755CC"/>
    <w:rsid w:val="0028569E"/>
    <w:rsid w:val="00297E00"/>
    <w:rsid w:val="002B2F68"/>
    <w:rsid w:val="00311060"/>
    <w:rsid w:val="003141DA"/>
    <w:rsid w:val="003E44B7"/>
    <w:rsid w:val="004516CE"/>
    <w:rsid w:val="00464AF8"/>
    <w:rsid w:val="00481C4E"/>
    <w:rsid w:val="0048360D"/>
    <w:rsid w:val="005527A3"/>
    <w:rsid w:val="00563916"/>
    <w:rsid w:val="005C4047"/>
    <w:rsid w:val="005D7F92"/>
    <w:rsid w:val="006F4345"/>
    <w:rsid w:val="007E5710"/>
    <w:rsid w:val="00815F02"/>
    <w:rsid w:val="008B46FD"/>
    <w:rsid w:val="00920B77"/>
    <w:rsid w:val="009955B7"/>
    <w:rsid w:val="00A04E46"/>
    <w:rsid w:val="00A1347B"/>
    <w:rsid w:val="00B27112"/>
    <w:rsid w:val="00B42D7C"/>
    <w:rsid w:val="00D53901"/>
    <w:rsid w:val="00D70FDC"/>
    <w:rsid w:val="00D84BB6"/>
    <w:rsid w:val="00DD3F95"/>
    <w:rsid w:val="00DE6278"/>
    <w:rsid w:val="00E27142"/>
    <w:rsid w:val="00E815DD"/>
    <w:rsid w:val="00EE2E3C"/>
    <w:rsid w:val="00EE3756"/>
    <w:rsid w:val="00F30F51"/>
    <w:rsid w:val="00F73F29"/>
    <w:rsid w:val="00F8364E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puhkalova_ts</cp:lastModifiedBy>
  <cp:revision>41</cp:revision>
  <dcterms:created xsi:type="dcterms:W3CDTF">2019-07-13T06:31:00Z</dcterms:created>
  <dcterms:modified xsi:type="dcterms:W3CDTF">2019-08-07T13:47:00Z</dcterms:modified>
</cp:coreProperties>
</file>