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03" w:rsidRPr="00A41A2C" w:rsidRDefault="00542703" w:rsidP="000B73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A2C">
        <w:rPr>
          <w:rFonts w:ascii="Times New Roman" w:hAnsi="Times New Roman" w:cs="Times New Roman"/>
          <w:b/>
          <w:sz w:val="18"/>
          <w:szCs w:val="18"/>
        </w:rPr>
        <w:t>Техническое задание.</w:t>
      </w:r>
    </w:p>
    <w:p w:rsidR="00C42614" w:rsidRPr="00C42614" w:rsidRDefault="006D48E9" w:rsidP="000B7333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42614" w:rsidRPr="00C42614">
        <w:rPr>
          <w:rFonts w:ascii="Times New Roman" w:eastAsia="Times New Roman" w:hAnsi="Times New Roman" w:cs="Times New Roman"/>
          <w:sz w:val="24"/>
          <w:lang w:eastAsia="ru-RU"/>
        </w:rPr>
        <w:t xml:space="preserve">Технические средства реабилитации - </w:t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</w:t>
      </w:r>
      <w:r w:rsidR="00D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Товар)</w:t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Национальном стандарте РФ ГОСТ РИСО 9999-2014 "Вспомогательные средства для людей с ограничениями жизнедеятельности. Классификация и терминология". </w:t>
      </w:r>
      <w:r w:rsidR="00C42614" w:rsidRPr="00C4261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81357" w:rsidRDefault="00C42614" w:rsidP="00D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 материалы для изготовления </w:t>
      </w:r>
      <w:r w:rsidR="00D81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разрешены к применению Министерством Здраво</w:t>
      </w:r>
      <w:r w:rsidR="00D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 Российской Федерации.</w:t>
      </w:r>
    </w:p>
    <w:p w:rsidR="00A7730F" w:rsidRPr="00D81357" w:rsidRDefault="00C42614" w:rsidP="00D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D81357">
        <w:rPr>
          <w:rFonts w:ascii="Times New Roman" w:eastAsia="Times New Roman" w:hAnsi="Times New Roman" w:cs="Times New Roman"/>
          <w:sz w:val="24"/>
          <w:lang w:eastAsia="ru-RU"/>
        </w:rPr>
        <w:t>Товаре</w:t>
      </w:r>
      <w:r w:rsidRPr="00C42614">
        <w:rPr>
          <w:rFonts w:ascii="Times New Roman" w:eastAsia="Times New Roman" w:hAnsi="Times New Roman" w:cs="Times New Roman"/>
          <w:sz w:val="24"/>
          <w:lang w:eastAsia="ru-RU"/>
        </w:rPr>
        <w:t xml:space="preserve"> не допускаются механические повреждения (разрыв края, разрезы и т.п.), видимые невооруженным глазом.</w:t>
      </w:r>
    </w:p>
    <w:p w:rsidR="00C42614" w:rsidRPr="00A7730F" w:rsidRDefault="00A7730F" w:rsidP="000B7333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ГОСТ </w:t>
      </w:r>
      <w:r w:rsidR="00C42614" w:rsidRPr="00C426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 51632-2014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C42614" w:rsidRPr="00C426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C42614" w:rsidRPr="00C426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предъявляются следующие </w:t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упаковке</w:t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614" w:rsidRPr="00C42614" w:rsidRDefault="00D81357" w:rsidP="000B7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C42614" w:rsidRPr="00C42614" w:rsidRDefault="00C42614" w:rsidP="000B7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="00D813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614" w:rsidRPr="00C42614" w:rsidRDefault="00C42614" w:rsidP="000B7333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A80" w:rsidRPr="0054406B" w:rsidRDefault="00133A80" w:rsidP="000B7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56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1985"/>
        <w:gridCol w:w="1842"/>
        <w:gridCol w:w="4395"/>
        <w:gridCol w:w="1559"/>
        <w:gridCol w:w="1701"/>
      </w:tblGrid>
      <w:tr w:rsidR="007B635A" w:rsidRPr="00300B70" w:rsidTr="003F53FC">
        <w:trPr>
          <w:trHeight w:val="2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Технические характеристики и </w:t>
            </w:r>
          </w:p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описание товара, работы, услуги в случае отсутствия соответствующих позиций в КТРУ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7B635A" w:rsidRPr="00300B70" w:rsidTr="003F53FC">
        <w:trPr>
          <w:trHeight w:val="45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35A" w:rsidRPr="00300B70" w:rsidTr="003F53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200A5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1200A5" w:rsidRPr="001200A5" w:rsidRDefault="001200A5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00A5" w:rsidRPr="001200A5" w:rsidRDefault="001200A5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A5" w:rsidRPr="001200A5" w:rsidRDefault="00C42614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A5" w:rsidRPr="001200A5" w:rsidRDefault="001200A5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A5" w:rsidRPr="001200A5" w:rsidRDefault="001200A5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200A5" w:rsidRPr="001200A5" w:rsidRDefault="001200A5" w:rsidP="000B7333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1200A5">
              <w:rPr>
                <w:rFonts w:ascii="Times New Roman" w:hAnsi="Times New Roman" w:cs="Times New Roman"/>
                <w:sz w:val="20"/>
                <w:lang w:eastAsia="ar-SA"/>
              </w:rPr>
              <w:t>Калоприемник состоит из:</w:t>
            </w:r>
          </w:p>
          <w:p w:rsidR="001200A5" w:rsidRPr="001200A5" w:rsidRDefault="001200A5" w:rsidP="000B7333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 - дренируемый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мешок неразъемный из непрозрачного (или прозрачного) многослойного, не пропускающего запах полиэтилена, с мягкой нетканой подложкой, с зажимом.</w:t>
            </w:r>
          </w:p>
          <w:p w:rsidR="001200A5" w:rsidRPr="001200A5" w:rsidRDefault="001200A5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- встроенная гибкая легко наклеивающаяся и отклеивающаяся адгезивная пластина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гидроколлоидной основе с защитным покрытием, с максимальным отверстием, вырезаемым под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не менее 60 </w:t>
            </w:r>
            <w:r w:rsidRPr="001200A5">
              <w:rPr>
                <w:rFonts w:ascii="Times New Roman" w:hAnsi="Times New Roman" w:cs="Times New Roman"/>
                <w:sz w:val="20"/>
              </w:rPr>
              <w:lastRenderedPageBreak/>
              <w:t>мм. Не должна вызывать механического повреждения кожи при отклеивании.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0A5" w:rsidRPr="001200A5" w:rsidRDefault="00784E97" w:rsidP="000B7333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lastRenderedPageBreak/>
              <w:t>30500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00A5" w:rsidRPr="001200A5" w:rsidRDefault="00006195" w:rsidP="000B7333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48,98</w:t>
            </w:r>
          </w:p>
        </w:tc>
      </w:tr>
      <w:tr w:rsidR="00B9001D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6195" w:rsidRPr="00F5375D" w:rsidRDefault="00006195" w:rsidP="00006195">
            <w:pPr>
              <w:suppressAutoHyphens/>
              <w:jc w:val="both"/>
              <w:rPr>
                <w:bCs/>
                <w:sz w:val="16"/>
                <w:szCs w:val="16"/>
                <w:lang w:eastAsia="ar-SA"/>
              </w:rPr>
            </w:pPr>
            <w:r w:rsidRPr="00F5375D">
              <w:rPr>
                <w:bCs/>
                <w:sz w:val="16"/>
                <w:szCs w:val="16"/>
                <w:lang w:eastAsia="ar-SA"/>
              </w:rPr>
              <w:t xml:space="preserve">Однокомпонентный </w:t>
            </w:r>
            <w:proofErr w:type="spellStart"/>
            <w:r w:rsidRPr="00F5375D">
              <w:rPr>
                <w:bCs/>
                <w:sz w:val="16"/>
                <w:szCs w:val="16"/>
                <w:lang w:eastAsia="ar-SA"/>
              </w:rPr>
              <w:t>недренируемый</w:t>
            </w:r>
            <w:proofErr w:type="spellEnd"/>
            <w:r w:rsidRPr="00F5375D">
              <w:rPr>
                <w:bCs/>
                <w:sz w:val="16"/>
                <w:szCs w:val="16"/>
                <w:lang w:eastAsia="ar-SA"/>
              </w:rPr>
              <w:t xml:space="preserve"> калоприемник со встроенной плоской пластиной</w:t>
            </w:r>
          </w:p>
          <w:p w:rsidR="00B9001D" w:rsidRPr="001200A5" w:rsidRDefault="00B9001D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1D" w:rsidRDefault="00B9001D" w:rsidP="000B7333">
            <w:r w:rsidRPr="009165E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1D" w:rsidRPr="001200A5" w:rsidRDefault="00B9001D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1D" w:rsidRPr="001200A5" w:rsidRDefault="00B9001D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6195" w:rsidRPr="00F5375D" w:rsidRDefault="00006195" w:rsidP="00006195">
            <w:pPr>
              <w:keepNext/>
              <w:jc w:val="both"/>
              <w:rPr>
                <w:rFonts w:eastAsia="Calibri"/>
                <w:sz w:val="20"/>
              </w:rPr>
            </w:pPr>
            <w:r w:rsidRPr="00F5375D">
              <w:rPr>
                <w:rFonts w:eastAsia="Calibri"/>
                <w:sz w:val="20"/>
              </w:rPr>
              <w:t>Калоприемник состоит из:</w:t>
            </w:r>
          </w:p>
          <w:p w:rsidR="00006195" w:rsidRPr="00F5375D" w:rsidRDefault="00006195" w:rsidP="00006195">
            <w:pPr>
              <w:keepNext/>
              <w:jc w:val="both"/>
              <w:rPr>
                <w:rFonts w:eastAsia="Calibri"/>
                <w:sz w:val="20"/>
              </w:rPr>
            </w:pPr>
            <w:r w:rsidRPr="00F5375D">
              <w:rPr>
                <w:rFonts w:eastAsia="Calibri"/>
                <w:sz w:val="20"/>
              </w:rPr>
              <w:t xml:space="preserve"> - </w:t>
            </w:r>
            <w:proofErr w:type="spellStart"/>
            <w:r w:rsidRPr="00F5375D">
              <w:rPr>
                <w:rFonts w:eastAsia="Calibri"/>
                <w:sz w:val="20"/>
              </w:rPr>
              <w:t>недренируемый</w:t>
            </w:r>
            <w:proofErr w:type="spellEnd"/>
            <w:r w:rsidRPr="00F5375D">
              <w:rPr>
                <w:rFonts w:eastAsia="Calibri"/>
                <w:sz w:val="20"/>
              </w:rPr>
              <w:t xml:space="preserve"> </w:t>
            </w:r>
            <w:proofErr w:type="spellStart"/>
            <w:r w:rsidRPr="00F5375D">
              <w:rPr>
                <w:rFonts w:eastAsia="Calibri"/>
                <w:sz w:val="20"/>
              </w:rPr>
              <w:t>стомный</w:t>
            </w:r>
            <w:proofErr w:type="spellEnd"/>
            <w:r w:rsidRPr="00F5375D">
              <w:rPr>
                <w:rFonts w:eastAsia="Calibri"/>
                <w:sz w:val="20"/>
              </w:rPr>
              <w:t xml:space="preserve"> мешок неразъемный из непрозрачного (или прозрачного) многослойного, не пропускающего запах полиэтилена, с мягкой нетканой подложкой, с обязательным наличием фильтра;</w:t>
            </w:r>
          </w:p>
          <w:p w:rsidR="00B9001D" w:rsidRPr="001200A5" w:rsidRDefault="00006195" w:rsidP="00006195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F5375D">
              <w:rPr>
                <w:rFonts w:eastAsia="Calibri"/>
                <w:sz w:val="20"/>
              </w:rPr>
              <w:t xml:space="preserve">-встроенная гибкая круглая или овальная легко наклеивающаяся и отклеивающаяся адгезивная пластина на натуральной, </w:t>
            </w:r>
            <w:proofErr w:type="spellStart"/>
            <w:r w:rsidRPr="00F5375D">
              <w:rPr>
                <w:rFonts w:eastAsia="Calibri"/>
                <w:sz w:val="20"/>
              </w:rPr>
              <w:t>гипоаллергенной</w:t>
            </w:r>
            <w:proofErr w:type="spellEnd"/>
            <w:r w:rsidRPr="00F5375D">
              <w:rPr>
                <w:rFonts w:eastAsia="Calibri"/>
                <w:sz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5375D">
              <w:rPr>
                <w:rFonts w:eastAsia="Calibri"/>
                <w:sz w:val="20"/>
              </w:rPr>
              <w:t>стому</w:t>
            </w:r>
            <w:proofErr w:type="spellEnd"/>
            <w:r w:rsidRPr="00F5375D">
              <w:rPr>
                <w:rFonts w:eastAsia="Calibri"/>
                <w:sz w:val="20"/>
              </w:rPr>
              <w:t>. Не должна вызывать механического повреждения кожи при отклеивании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784E97" w:rsidP="000B7333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01D" w:rsidRPr="001200A5" w:rsidRDefault="00784E97" w:rsidP="000B7333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54,77</w:t>
            </w:r>
          </w:p>
        </w:tc>
      </w:tr>
      <w:tr w:rsidR="008045AA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8045AA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5AA" w:rsidRPr="001200A5" w:rsidRDefault="008045AA" w:rsidP="000B733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калоприемник в комплекте: </w:t>
            </w:r>
            <w:r w:rsidRPr="001200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адгезивная пластина, плоская.</w:t>
            </w:r>
          </w:p>
          <w:p w:rsidR="008045AA" w:rsidRPr="001200A5" w:rsidRDefault="008045AA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AA" w:rsidRDefault="008045AA" w:rsidP="000B7333">
            <w:r w:rsidRPr="006B3BA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AA" w:rsidRPr="001200A5" w:rsidRDefault="008045A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AA" w:rsidRPr="001200A5" w:rsidRDefault="008045A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045AA" w:rsidRPr="001200A5" w:rsidRDefault="008045AA" w:rsidP="000B7333">
            <w:pPr>
              <w:keepNext/>
              <w:jc w:val="both"/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</w:pPr>
            <w:r w:rsidRPr="001200A5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- адгезивная пластина, плоская.</w:t>
            </w:r>
          </w:p>
          <w:p w:rsidR="008045AA" w:rsidRPr="001200A5" w:rsidRDefault="008045AA" w:rsidP="000B7333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Гибкая легко наклеивающаяся и отклеивающаяся </w:t>
            </w:r>
            <w:r w:rsidRPr="001200A5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а</w:t>
            </w:r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дгезивная пластина с клеевым слоем на натуральной, </w:t>
            </w:r>
            <w:proofErr w:type="spellStart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>гипоаллергенной</w:t>
            </w:r>
            <w:proofErr w:type="spellEnd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>стому</w:t>
            </w:r>
            <w:proofErr w:type="spellEnd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, с фланцем для крепления </w:t>
            </w:r>
            <w:proofErr w:type="gramStart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>мешка,  соответствующим</w:t>
            </w:r>
            <w:proofErr w:type="gramEnd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 фланцу мешка. Не должна вызывать механического повреждения кожи при отклеивании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8045AA" w:rsidRPr="001200A5" w:rsidRDefault="008045AA" w:rsidP="000B7333">
            <w:pPr>
              <w:keepNext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AA" w:rsidRPr="001200A5" w:rsidRDefault="00784E97" w:rsidP="000B7333">
            <w:pPr>
              <w:keepNext/>
              <w:jc w:val="both"/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80</w:t>
            </w:r>
            <w:r w:rsidR="008045AA" w:rsidRPr="001200A5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5AA" w:rsidRPr="001200A5" w:rsidRDefault="00006195" w:rsidP="000B7333">
            <w:pPr>
              <w:keepNext/>
              <w:jc w:val="both"/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57,86</w:t>
            </w:r>
          </w:p>
        </w:tc>
      </w:tr>
      <w:tr w:rsidR="008045AA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8045AA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5AA" w:rsidRPr="001200A5" w:rsidRDefault="008045AA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калоприемник в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комплекте: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мешок дренируемый.</w:t>
            </w:r>
          </w:p>
          <w:p w:rsidR="008045AA" w:rsidRPr="001200A5" w:rsidRDefault="008045AA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AA" w:rsidRDefault="008045AA" w:rsidP="000B7333">
            <w:r w:rsidRPr="006B3BA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AA" w:rsidRPr="001200A5" w:rsidRDefault="008045A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AA" w:rsidRPr="001200A5" w:rsidRDefault="008045AA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045AA" w:rsidRPr="001200A5" w:rsidRDefault="008045AA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- мешок дренируемый.</w:t>
            </w:r>
          </w:p>
          <w:p w:rsidR="008045AA" w:rsidRPr="001200A5" w:rsidRDefault="008045AA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lastRenderedPageBreak/>
              <w:t xml:space="preserve">Мешок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дренируемый из непрозрачного (или прозрачного)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</w:p>
          <w:p w:rsidR="008045AA" w:rsidRPr="001200A5" w:rsidRDefault="008045AA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Не менее 3 типоразмеров, максимальный типоразмер не менее 70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AA" w:rsidRPr="001200A5" w:rsidRDefault="00784E97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5AA" w:rsidRPr="001200A5" w:rsidRDefault="00006195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48,43</w:t>
            </w:r>
          </w:p>
        </w:tc>
      </w:tr>
      <w:tr w:rsidR="00784E97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784E97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E97" w:rsidRPr="001200A5" w:rsidRDefault="00784E97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адгезивная пластина, </w:t>
            </w:r>
            <w:proofErr w:type="spellStart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конвексная</w:t>
            </w:r>
            <w:proofErr w:type="spellEnd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784E97" w:rsidRPr="001200A5" w:rsidRDefault="00784E97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4E97" w:rsidRPr="001200A5" w:rsidRDefault="00784E97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7" w:rsidRDefault="00784E97" w:rsidP="000B7333">
            <w:r w:rsidRPr="006B3BA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97" w:rsidRPr="001200A5" w:rsidRDefault="00784E97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97" w:rsidRPr="001200A5" w:rsidRDefault="00784E97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84E97" w:rsidRPr="001200A5" w:rsidRDefault="00784E97" w:rsidP="000B73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адгезивная пластина, </w:t>
            </w:r>
            <w:proofErr w:type="spellStart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конвексная</w:t>
            </w:r>
            <w:proofErr w:type="spellEnd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784E97" w:rsidRPr="001200A5" w:rsidRDefault="00784E97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Гибкая легко наклеивающаяся и отклеивающаяся адгезивная пластина с клеевым слоем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фланцем для крепления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мешка,  соответствующим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фланцу мешка.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должна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вызывать механического повреждения кожи при отклеивании. Типоразмер по диаметру фланца для крепления мешка, максимальный типоразмер 60 мм.</w:t>
            </w:r>
          </w:p>
          <w:p w:rsidR="00784E97" w:rsidRPr="001200A5" w:rsidRDefault="00784E97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E97" w:rsidRPr="001200A5" w:rsidRDefault="00B77666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E97" w:rsidRPr="001200A5" w:rsidRDefault="00006195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112,46</w:t>
            </w:r>
          </w:p>
        </w:tc>
      </w:tr>
      <w:tr w:rsidR="00784E97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784E97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E97" w:rsidRPr="001200A5" w:rsidRDefault="00784E97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мешок дренируемый.</w:t>
            </w:r>
          </w:p>
          <w:p w:rsidR="00784E97" w:rsidRPr="001200A5" w:rsidRDefault="00784E97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4E97" w:rsidRPr="001200A5" w:rsidRDefault="00784E97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7" w:rsidRDefault="00784E97" w:rsidP="000B7333">
            <w:r w:rsidRPr="006B3BA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97" w:rsidRPr="001200A5" w:rsidRDefault="00784E97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97" w:rsidRPr="001200A5" w:rsidRDefault="00784E97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84E97" w:rsidRPr="001200A5" w:rsidRDefault="00784E97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- мешок дренируемый.</w:t>
            </w:r>
          </w:p>
          <w:p w:rsidR="00784E97" w:rsidRPr="001200A5" w:rsidRDefault="00784E97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Мешок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дренируемый из непрозрачного (или прозрачного)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</w:p>
          <w:p w:rsidR="00784E97" w:rsidRPr="001200A5" w:rsidRDefault="00784E97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Максимальный типоразмер не менее 60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E97" w:rsidRPr="001200A5" w:rsidRDefault="00B77666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E97" w:rsidRPr="001200A5" w:rsidRDefault="00006195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56,52</w:t>
            </w:r>
          </w:p>
        </w:tc>
      </w:tr>
      <w:tr w:rsidR="00B77666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77666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калоприемник в комплекте: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адгезивная пластина, </w:t>
            </w:r>
            <w:proofErr w:type="gramStart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плоская..</w:t>
            </w:r>
            <w:proofErr w:type="gramEnd"/>
          </w:p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66" w:rsidRDefault="00B77666" w:rsidP="000B7333">
            <w:r w:rsidRPr="006B3BA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77666" w:rsidRPr="001200A5" w:rsidRDefault="00B77666" w:rsidP="000B73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адгезивная пластина, </w:t>
            </w:r>
            <w:proofErr w:type="gramStart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плоская..</w:t>
            </w:r>
            <w:proofErr w:type="gramEnd"/>
          </w:p>
          <w:p w:rsidR="00B77666" w:rsidRPr="001200A5" w:rsidRDefault="00B77666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Гибкая легко наклеивающаяся и отклеивающаяся 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дгезивная пластина с клеевым слоем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фланцем для крепления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мешка,  соответствующим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фланцу мешка. Не должна вызывать механического повреждения кожи при отклеивании. </w:t>
            </w:r>
          </w:p>
          <w:p w:rsidR="00B77666" w:rsidRPr="001200A5" w:rsidRDefault="00B77666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64,19</w:t>
            </w:r>
          </w:p>
        </w:tc>
      </w:tr>
      <w:tr w:rsidR="00B77666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77666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калоприемник в комплекте: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мешок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66" w:rsidRDefault="00B77666" w:rsidP="000B7333">
            <w:r w:rsidRPr="006B3BA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77666" w:rsidRPr="001200A5" w:rsidRDefault="00B77666" w:rsidP="000B7333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- мешок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</w:t>
            </w:r>
          </w:p>
          <w:p w:rsidR="00B77666" w:rsidRPr="001200A5" w:rsidRDefault="00B77666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Мешок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из непрозрачного (или прозрачного) многослойного, не пропускающего запах полиэтилена, с мягкой нетканой подложкой, с газовым фильтром, фланцем для крепления мешка к пластине, соответствующим фланцу пластины.  Не менее 3 типоразмеров, максимальный типоразмер не менее 70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666" w:rsidRPr="001200A5" w:rsidRDefault="00B77666" w:rsidP="000B7333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666" w:rsidRPr="001200A5" w:rsidRDefault="00006195" w:rsidP="000B7333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46,38</w:t>
            </w:r>
          </w:p>
        </w:tc>
      </w:tr>
      <w:tr w:rsidR="00B77666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77666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Анальный тампон (средство ухода при недержании кала)</w:t>
            </w:r>
          </w:p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Анальный тампон (средство ухода при недержании кала), 32.50.13.190-00006915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77666" w:rsidRPr="001200A5" w:rsidRDefault="00B77666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Анальные тампоны предназначены для инвалидов с непроизвольным опорожнением кишечника, неконтролируемым отхождением газов, изготовлен из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полиуриетана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покрыт растворимой пленкой. Шнур для удаления тампона – из хлопка. В индивидуальной упаковке. Должно быть 2 типоразмера (диаметр утолщения 37 и 45 мм).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666" w:rsidRPr="001200A5" w:rsidRDefault="00006195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173,34</w:t>
            </w:r>
          </w:p>
        </w:tc>
      </w:tr>
      <w:tr w:rsidR="00B77666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77666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Мочеприемник ножной (мешок для сбора мочи) дневной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66" w:rsidRDefault="00B77666" w:rsidP="000B7333">
            <w:r w:rsidRPr="00DE74E2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Мешок состоит из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неперекручивающейся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приводной трубки, мешка для сбора </w:t>
            </w:r>
            <w:proofErr w:type="gramStart"/>
            <w:r w:rsidRPr="001200A5">
              <w:rPr>
                <w:rFonts w:ascii="Times New Roman" w:hAnsi="Times New Roman" w:cs="Times New Roman"/>
                <w:sz w:val="20"/>
              </w:rPr>
              <w:t>мочи  и</w:t>
            </w:r>
            <w:proofErr w:type="gramEnd"/>
            <w:r w:rsidRPr="001200A5">
              <w:rPr>
                <w:rFonts w:ascii="Times New Roman" w:hAnsi="Times New Roman" w:cs="Times New Roman"/>
                <w:sz w:val="20"/>
              </w:rPr>
              <w:t xml:space="preserve"> сливного крана. Проксимальный конец приводной трубки заканчивается коннектором конусообразной формы типа "елочка" для более плотного соединения и минимизации риска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рассоединения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уропрезервативом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. Мешок для сбора мочи прямоугольной формы. Выполнен из полиэтилена, с нетканой подложкой. На мешке 4 насечки - 2 на нижнем краю и 2 - на верхнем для удобной фиксации мешка на ноге пациента, со сливного краном, расположен по </w:t>
            </w:r>
            <w:r w:rsidRPr="001200A5">
              <w:rPr>
                <w:rFonts w:ascii="Times New Roman" w:hAnsi="Times New Roman" w:cs="Times New Roman"/>
                <w:sz w:val="20"/>
              </w:rPr>
              <w:lastRenderedPageBreak/>
              <w:t>нижнему краю сборного мешка, по центру.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55,18</w:t>
            </w:r>
          </w:p>
        </w:tc>
      </w:tr>
      <w:tr w:rsidR="00B77666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77666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Мочеприемник прикроватный (мешок для сбора мочи) ночной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66" w:rsidRDefault="00B77666" w:rsidP="000B7333">
            <w:r w:rsidRPr="00DE74E2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Мешок состоит из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неперекручивающейся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приводной трубки, мешка для сбора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мочи  и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сливного крана. Проксимальный конец приводной трубки заканчивается коннектором конусообразной формы для более плотного соединения и минимизации риска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рассоединения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Мешок для сбора мочи прямоугольной формы. Выполнен из полиэтилена.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Универсальный  переходник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666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666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49,95</w:t>
            </w:r>
          </w:p>
        </w:tc>
      </w:tr>
      <w:tr w:rsidR="00B77666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77666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пластырем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66" w:rsidRDefault="00B77666" w:rsidP="000B7333">
            <w:r w:rsidRPr="002D71E6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6" w:rsidRPr="001200A5" w:rsidRDefault="00B77666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77666" w:rsidRPr="001200A5" w:rsidRDefault="00B77666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пластырем для соединения с приводной трубкой ножных мешков. Крепление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уропрезервативов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осуществляется пластырем (полоской, имеющей с двух сторон гидроколлоидный адгезивный слой). Сливной конец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уропрезервативов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обеспечивает беспрепятственный отток мочи. Изготовлены из медицинского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латекса..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77666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666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32,54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самоклеящийся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C" w:rsidRDefault="000030FC" w:rsidP="000B7333">
            <w:r w:rsidRPr="002D71E6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Изготовлен из медицинского латекса.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6195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37,80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самокатетеризации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лубрицированный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C" w:rsidRDefault="000030FC" w:rsidP="000B7333">
            <w:r w:rsidRPr="002D71E6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Катетеры для </w:t>
            </w:r>
            <w:proofErr w:type="spellStart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самокатетеризации</w:t>
            </w:r>
            <w:proofErr w:type="spellEnd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различных размеров – должны быть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изготовлены из поливинилхлорида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покрыты снаружи гидрофильным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лубрикантом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поливинилпирролидоном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Наконечник катетера прямой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цилиндрический,  с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двумя боковыми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отверстиями, с отполированными и покрытыми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поливинилпирролидоном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краями. Катетер имеет воронкообразный коннектор для соединения со стандартным мешком-мочеприемником. Катетер стерилен и находится в индивидуальной упаковке, не требует контакта с водой для активации.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Катетеры одноразовые: мужские, женские, детские.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61,49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Катетер уретральный длительного пользования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Катетер уретральный постоянный для дренажа/промывания, 32.50.13.190-00006893 -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Катетер уретральный длительного пользования, типа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. Катетер двухходовой для длительной катетеризации мочевого пузыря.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противозвратным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клапаном, </w:t>
            </w:r>
            <w:proofErr w:type="gram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покрышкой,  баллоном</w:t>
            </w:r>
            <w:proofErr w:type="gram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. Катетер должен иметь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атравматичный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мочеприемными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 любого типа.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52,10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эпицистостомы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C" w:rsidRDefault="000030FC" w:rsidP="000B7333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атетеры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эпицистостомы</w:t>
            </w:r>
            <w:proofErr w:type="spellEnd"/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5 типоразмеров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42,96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 встроенной плоской пластиной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C" w:rsidRDefault="000030FC" w:rsidP="000B7333">
            <w:r w:rsidRPr="00CD0475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Уроприемники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однокомпонентные дренируемые: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уростомный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мешок неразъемный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антирефлюксным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сливным клапанами;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-встроенная круглая или овальная гибкая легко наклеивающаяся и отклеивающаяся адгезивная пластина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Не должна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вызывать механического повреждения кожи при отклеивании.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65,76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адгезивная пластина, плоская.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C" w:rsidRDefault="000030FC" w:rsidP="000B7333">
            <w:r w:rsidRPr="00CD0475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00A5">
              <w:rPr>
                <w:rFonts w:ascii="Times New Roman" w:hAnsi="Times New Roman" w:cs="Times New Roman"/>
                <w:bCs/>
                <w:sz w:val="20"/>
              </w:rPr>
              <w:t xml:space="preserve"> - адгезивная пластина, плоская.</w:t>
            </w:r>
          </w:p>
          <w:p w:rsidR="000030FC" w:rsidRPr="001200A5" w:rsidRDefault="000030FC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Гибкая круглая или овальная легко наклеивающаяся и отклеивающаяся </w:t>
            </w:r>
            <w:r w:rsidRPr="001200A5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дгезивная пластина с клеевым слоем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с фланцем для крепления </w:t>
            </w:r>
            <w:proofErr w:type="gramStart"/>
            <w:r w:rsidRPr="001200A5">
              <w:rPr>
                <w:rFonts w:ascii="Times New Roman" w:hAnsi="Times New Roman" w:cs="Times New Roman"/>
                <w:sz w:val="20"/>
              </w:rPr>
              <w:t>мешка,  соответствующим</w:t>
            </w:r>
            <w:proofErr w:type="gramEnd"/>
            <w:r w:rsidRPr="001200A5">
              <w:rPr>
                <w:rFonts w:ascii="Times New Roman" w:hAnsi="Times New Roman" w:cs="Times New Roman"/>
                <w:sz w:val="20"/>
              </w:rPr>
              <w:t xml:space="preserve"> фланцу мешка. Не должна вызывать механического повреждения кожи при отклеивании</w:t>
            </w:r>
          </w:p>
          <w:p w:rsidR="000030FC" w:rsidRPr="001200A5" w:rsidRDefault="000030FC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Не менее 3 типоразмеров по диаметру фланца для крепления мешка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61,25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уростомный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мешок.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C" w:rsidRDefault="000030FC" w:rsidP="000B7333">
            <w:r w:rsidRPr="00DE74E2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уростомный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мешок.</w:t>
            </w:r>
          </w:p>
          <w:p w:rsidR="000030FC" w:rsidRPr="001200A5" w:rsidRDefault="000030FC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мешок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уростомный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proofErr w:type="gramStart"/>
            <w:r w:rsidRPr="001200A5">
              <w:rPr>
                <w:rFonts w:ascii="Times New Roman" w:hAnsi="Times New Roman" w:cs="Times New Roman"/>
                <w:sz w:val="20"/>
              </w:rPr>
              <w:t>антирефлюксным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 и</w:t>
            </w:r>
            <w:proofErr w:type="gramEnd"/>
            <w:r w:rsidRPr="001200A5">
              <w:rPr>
                <w:rFonts w:ascii="Times New Roman" w:hAnsi="Times New Roman" w:cs="Times New Roman"/>
                <w:sz w:val="20"/>
              </w:rPr>
              <w:t xml:space="preserve"> сливным клапанами, с фланцем для крепления мешка к пластине, соответствующим фланцу пластины.</w:t>
            </w:r>
          </w:p>
          <w:p w:rsidR="000030FC" w:rsidRPr="001200A5" w:rsidRDefault="000030FC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Не менее 3 типоразмеров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62,77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 - адгезивная пластина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конвексная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C" w:rsidRDefault="000030FC" w:rsidP="000B7333">
            <w:r w:rsidRPr="00DE74E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адгезивная пластина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конвексная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конвексная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клеевым слоем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гидроколлоидной основе с защитным покрытием, с фланцем для крепления мешка, соответствующим фланцу мешка. Типоразмер по диаметру фланца для крепления мешка, максимальный типоразмер 60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6195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114,74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уростомный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мешок,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C" w:rsidRDefault="000030FC" w:rsidP="000B7333">
            <w:r w:rsidRPr="00DE74E2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уростомный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мешок, 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Уростомный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мешок, дренируемый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 прозрачного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многослойного, не пропускающего запах полиэтилена, с мягкой нетканой подложкой, с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антирефлюксным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типоразмер не менее 60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6195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66,48</w:t>
            </w:r>
          </w:p>
        </w:tc>
      </w:tr>
      <w:tr w:rsidR="000030F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0030F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 ремешков для крепления мочеприемников (мешков для сбора мочи) к ноге</w:t>
            </w: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 ремешков для крепления мочеприемников (мешков для сбора мочи) к ноге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900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32.50.13.190-00006909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C" w:rsidRPr="001200A5" w:rsidRDefault="000030F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Ремешки для крепления ножных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уроприемников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ноге, с силиконовой прослойкой для предотвращения скольжения ремешка по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ноге,  регулируемые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длине.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0FC" w:rsidRPr="001200A5" w:rsidRDefault="000030F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98,44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Паста-герметик для защиты и выравнивания кожи вокруг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тубе, не менее 60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9C" w:rsidRDefault="00E7499C" w:rsidP="000B7333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Консистенция пасты - гладкая, однородная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мазеподобная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масса. Паста при заполнении зазоров между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перистомальную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кожу, что делает более продолжительным период ношения калоприемника. Объем одного тюбика должен быть не менее 60 гр. Паста должна быть сделана на основе гидроколлоидного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адгезива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235,86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Паста-герметик для защиты и выравнивания кожи вокруг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полосках, не менее 60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9C" w:rsidRDefault="00E7499C" w:rsidP="000B7333">
            <w:r w:rsidRPr="00CB2ACB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Применяется для заполнения полостей, складок на коже, защиты кожи от раздражения или как дополнительное средство герметизации.</w:t>
            </w:r>
          </w:p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Паста при заполнении зазоров между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Каждая полоска</w:t>
            </w:r>
            <w:r w:rsidRPr="00804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должна быть в индивидуальной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упаковке. Масса одно полоски должна быть не менее 6 г</w:t>
            </w:r>
            <w:r w:rsidRPr="00804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0B7333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43,67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 защитный в тубе, не менее 60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9C" w:rsidRDefault="00E7499C" w:rsidP="000B7333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Консистенция - гладкая, однородная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мазеподобная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масса. Должна обладать заживляющим эффектом. Должна наноситься на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перистомальну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кожу на 15-20 мин. Объем одного тюбика должен быть не менее 60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170,03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Пудра (порошок) абсорбирующая в тубе, не менее 25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9C" w:rsidRDefault="00E7499C" w:rsidP="000B7333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Применяется 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для ухода </w:t>
            </w:r>
            <w:proofErr w:type="gramStart"/>
            <w:r w:rsidRPr="001200A5">
              <w:rPr>
                <w:rFonts w:ascii="Times New Roman" w:hAnsi="Times New Roman" w:cs="Times New Roman"/>
                <w:sz w:val="20"/>
              </w:rPr>
              <w:t xml:space="preserve">за 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мацерированной</w:t>
            </w:r>
            <w:proofErr w:type="spellEnd"/>
            <w:proofErr w:type="gramEnd"/>
            <w:r w:rsidRPr="001200A5">
              <w:rPr>
                <w:rFonts w:ascii="Times New Roman" w:hAnsi="Times New Roman" w:cs="Times New Roman"/>
                <w:sz w:val="20"/>
              </w:rPr>
              <w:t xml:space="preserve"> кожей, устранения осложнений и раздражений кожи в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перистомальной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области- обладает рассыпчатой консистенцией.  Порошок должен наноситься на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перистомальную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а также более длительному ношению калоприемника. Объем одного тюбика должен быть не менее 25 гр. Порошок (пудра) состоит из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гидроколлоидов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Защитная пленка во флаконе, не менее 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9C" w:rsidRDefault="00E7499C" w:rsidP="000B7333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Применяется для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–средство для защиты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перистомальной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301,95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Защитная пленка в форме салфеток, не менее 30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9C" w:rsidRDefault="00E7499C" w:rsidP="000B7333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Применяется для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– мягкие, нетканые целлюлозные салфетки, пропитанные защитным раствором. Этот раствор должен быстро испаряться и образовывать на коже защитную пленку. Создавшаяся пленка должна создавать защитный барьер между кожей и адгезивной пластиной.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1200A5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006195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Очиститель для кожи во флаконе, не менее 180 мл</w:t>
            </w: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Очиститель для кожи во флаконе, не менее 180 мл, 32.50.13.190-00006910 -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 Поставляется во флаконах объемом не менее 180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164,69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Очиститель для кожи в форме салфеток, не менее 30 шт.</w:t>
            </w: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Очиститель для кожи в форме салфеток, не менее 30 шт., 32.50.13.190-00006911 -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 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12,93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Нейтрализатор запаха во флаконе, не менее 50 мл</w:t>
            </w: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Нейтрализатор запаха во флаконе, не менее 50 мл, 32.50.13.190-00006912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Нейтрализует (устраняет) запах при его образовании. Поставляется во флаконах не менее 50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239,22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</w:rPr>
            </w:pPr>
            <w:r w:rsidRPr="001200A5">
              <w:rPr>
                <w:rFonts w:ascii="Times New Roman" w:hAnsi="Times New Roman" w:cs="Times New Roman"/>
                <w:color w:val="000000"/>
              </w:rPr>
              <w:t xml:space="preserve">Абсорбирующие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</w:rPr>
              <w:t>желирующие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</w:rPr>
              <w:t xml:space="preserve"> пакетики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</w:rPr>
              <w:t>стомных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</w:rPr>
              <w:t xml:space="preserve"> мешков, 30 шт.</w:t>
            </w: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</w:rPr>
            </w:pP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Абсорбирующие </w:t>
            </w:r>
            <w:proofErr w:type="spellStart"/>
            <w:r w:rsidRPr="001200A5">
              <w:rPr>
                <w:rFonts w:ascii="Times New Roman" w:eastAsia="Calibri" w:hAnsi="Times New Roman" w:cs="Times New Roman"/>
                <w:lang w:eastAsia="ru-RU"/>
              </w:rPr>
              <w:t>желирующие</w:t>
            </w:r>
            <w:proofErr w:type="spellEnd"/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 пакетики для </w:t>
            </w:r>
            <w:proofErr w:type="spellStart"/>
            <w:r w:rsidRPr="001200A5">
              <w:rPr>
                <w:rFonts w:ascii="Times New Roman" w:eastAsia="Calibri" w:hAnsi="Times New Roman" w:cs="Times New Roman"/>
                <w:lang w:eastAsia="ru-RU"/>
              </w:rPr>
              <w:t>стомных</w:t>
            </w:r>
            <w:proofErr w:type="spellEnd"/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 мешков, 30 </w:t>
            </w:r>
            <w:proofErr w:type="gramStart"/>
            <w:r w:rsidRPr="001200A5">
              <w:rPr>
                <w:rFonts w:ascii="Times New Roman" w:eastAsia="Calibri" w:hAnsi="Times New Roman" w:cs="Times New Roman"/>
                <w:lang w:eastAsia="ru-RU"/>
              </w:rPr>
              <w:t>шт.,32.50.13.190</w:t>
            </w:r>
            <w:proofErr w:type="gramEnd"/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-00006913 -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200A5">
              <w:rPr>
                <w:rFonts w:ascii="Times New Roman" w:hAnsi="Times New Roman" w:cs="Times New Roman"/>
              </w:rPr>
              <w:t>Абсорбирующее средство в виде пакетиков-саше,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18,90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Наборы - мочеприемники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самокатетеризации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мешок - мочеприемник, катетер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лубрицированный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самокатетеризации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9C" w:rsidRDefault="00E7499C" w:rsidP="000B7333">
            <w:r w:rsidRPr="00B46EA3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Наборы - мочеприемники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самокатетризации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мешок-мочеприемник, катетер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лубрицированный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самокатетеризации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Могут поставляться в нескольких типоразмерах. Должны поставляться женские и мужские.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D81357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  <w:r w:rsidR="00E7499C" w:rsidRPr="001200A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231,99</w:t>
            </w:r>
          </w:p>
        </w:tc>
      </w:tr>
      <w:tr w:rsidR="00E7499C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E7499C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(с катетером)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нефростомии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9C" w:rsidRDefault="00E7499C" w:rsidP="000B7333">
            <w:r w:rsidRPr="00B46EA3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9C" w:rsidRPr="001200A5" w:rsidRDefault="00E7499C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состав набора входят: </w:t>
            </w: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катетер из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Rg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-контрастного материала с фиксирующей нитью, </w:t>
            </w: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пломбирования пункционного канала.</w:t>
            </w: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позволяет максимально упростить о обезопасить процедуру дренирования, максимально снизить риск микробного обсеменения пункционного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канала и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подтекания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содержимого полости по пункционному каналу.</w:t>
            </w:r>
          </w:p>
          <w:p w:rsidR="00E7499C" w:rsidRPr="001200A5" w:rsidRDefault="00E7499C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99C" w:rsidRPr="001200A5" w:rsidRDefault="00D81357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7499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9C" w:rsidRPr="001200A5" w:rsidRDefault="00006195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3329,81</w:t>
            </w:r>
          </w:p>
        </w:tc>
      </w:tr>
      <w:tr w:rsidR="00157054" w:rsidRPr="00300B70" w:rsidTr="000B73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157054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7054" w:rsidRPr="001200A5" w:rsidRDefault="00157054" w:rsidP="000B73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мочеточниковый для </w:t>
            </w:r>
            <w:proofErr w:type="spellStart"/>
            <w:r w:rsidRPr="00E74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уретерокутанеостомы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54" w:rsidRDefault="00157054" w:rsidP="000B7333">
            <w:r w:rsidRPr="00B46EA3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4" w:rsidRPr="001200A5" w:rsidRDefault="00157054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4" w:rsidRPr="001200A5" w:rsidRDefault="00157054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7054" w:rsidRPr="001200A5" w:rsidRDefault="00157054" w:rsidP="000B733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мочеточниковый для </w:t>
            </w:r>
            <w:proofErr w:type="spellStart"/>
            <w:r w:rsidRPr="00E74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уретерокутанестомы</w:t>
            </w:r>
            <w:proofErr w:type="spellEnd"/>
            <w:r w:rsidRPr="00E74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должен быть изготовлен из силикона, длина катетеры должна быть не менее 45см, тип прямой или J типа (с петлей на почечном кончике), катетер должен иметь круглый или овальный фланец для крепления к коже с отверстием на конце.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054" w:rsidRPr="001200A5" w:rsidRDefault="00157054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054" w:rsidRPr="001200A5" w:rsidRDefault="00006195" w:rsidP="000B73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2532,16</w:t>
            </w:r>
          </w:p>
        </w:tc>
      </w:tr>
      <w:tr w:rsidR="00157054" w:rsidRPr="00300B70" w:rsidTr="000030FC">
        <w:trPr>
          <w:trHeight w:val="416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4" w:rsidRPr="00211F91" w:rsidRDefault="00D81357" w:rsidP="000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ИТОГО: 100 516</w:t>
            </w:r>
            <w:r w:rsidR="0015705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шт., начальная (максимал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ьная) це</w:t>
            </w:r>
            <w:r w:rsidR="00723FEF">
              <w:rPr>
                <w:rFonts w:ascii="Times New Roman" w:eastAsia="Calibri" w:hAnsi="Times New Roman" w:cs="Times New Roman"/>
                <w:bCs/>
                <w:lang w:eastAsia="ru-RU"/>
              </w:rPr>
              <w:t>на контракта – 5 297 275 руб. 06</w:t>
            </w:r>
            <w:bookmarkStart w:id="0" w:name="_GoBack"/>
            <w:bookmarkEnd w:id="0"/>
            <w:r w:rsidR="0015705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коп.</w:t>
            </w:r>
          </w:p>
        </w:tc>
      </w:tr>
    </w:tbl>
    <w:p w:rsidR="002016F5" w:rsidRPr="0059096E" w:rsidRDefault="002016F5" w:rsidP="000B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16F5" w:rsidRPr="0059096E" w:rsidSect="004F3D77">
      <w:headerReference w:type="default" r:id="rId8"/>
      <w:headerReference w:type="first" r:id="rId9"/>
      <w:footnotePr>
        <w:pos w:val="beneathText"/>
      </w:footnotePr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FC" w:rsidRDefault="000030FC" w:rsidP="00AB47AE">
      <w:pPr>
        <w:spacing w:after="0" w:line="240" w:lineRule="auto"/>
      </w:pPr>
      <w:r>
        <w:separator/>
      </w:r>
    </w:p>
  </w:endnote>
  <w:endnote w:type="continuationSeparator" w:id="0">
    <w:p w:rsidR="000030FC" w:rsidRDefault="000030FC" w:rsidP="00AB47AE">
      <w:pPr>
        <w:spacing w:after="0" w:line="240" w:lineRule="auto"/>
      </w:pPr>
      <w:r>
        <w:continuationSeparator/>
      </w:r>
    </w:p>
  </w:endnote>
  <w:endnote w:id="1">
    <w:p w:rsidR="000030FC" w:rsidRPr="00D03850" w:rsidRDefault="000030FC" w:rsidP="00D0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50">
        <w:rPr>
          <w:rFonts w:ascii="Times New Roman" w:hAnsi="Times New Roman" w:cs="Times New Roman"/>
          <w:sz w:val="24"/>
          <w:szCs w:val="24"/>
        </w:rPr>
        <w:t xml:space="preserve">Место доставки </w:t>
      </w:r>
      <w:proofErr w:type="gramStart"/>
      <w:r w:rsidRPr="00D03850">
        <w:rPr>
          <w:rFonts w:ascii="Times New Roman" w:hAnsi="Times New Roman" w:cs="Times New Roman"/>
          <w:sz w:val="24"/>
          <w:szCs w:val="24"/>
        </w:rPr>
        <w:t>товара  -</w:t>
      </w:r>
      <w:proofErr w:type="gramEnd"/>
      <w:r w:rsidRPr="00D03850">
        <w:rPr>
          <w:rFonts w:ascii="Times New Roman" w:hAnsi="Times New Roman" w:cs="Times New Roman"/>
          <w:sz w:val="24"/>
          <w:szCs w:val="24"/>
        </w:rPr>
        <w:t xml:space="preserve"> РФ, г. Киров и Кировская область,  с доставкой по месту жительства Получателя, в </w:t>
      </w:r>
      <w:proofErr w:type="spellStart"/>
      <w:r w:rsidRPr="00D038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03850">
        <w:rPr>
          <w:rFonts w:ascii="Times New Roman" w:hAnsi="Times New Roman" w:cs="Times New Roman"/>
          <w:sz w:val="24"/>
          <w:szCs w:val="24"/>
        </w:rPr>
        <w:t>. доставка почтой,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p w:rsidR="000030FC" w:rsidRDefault="000030FC" w:rsidP="0088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FC" w:rsidRPr="00300B70" w:rsidRDefault="000030FC" w:rsidP="00C42614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00B70">
        <w:rPr>
          <w:rFonts w:ascii="Times New Roman" w:hAnsi="Times New Roman" w:cs="Times New Roman"/>
        </w:rPr>
        <w:t>абилитации</w:t>
      </w:r>
      <w:proofErr w:type="spellEnd"/>
      <w:r w:rsidRPr="00300B70">
        <w:rPr>
          <w:rFonts w:ascii="Times New Roman" w:hAnsi="Times New Roman" w:cs="Times New Roman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0030FC" w:rsidRPr="00300B70" w:rsidRDefault="000030FC" w:rsidP="002016F5">
      <w:pPr>
        <w:pStyle w:val="afd"/>
        <w:jc w:val="both"/>
        <w:rPr>
          <w:rFonts w:ascii="Times New Roman" w:hAnsi="Times New Roman" w:cs="Times New Roman"/>
        </w:rPr>
      </w:pPr>
    </w:p>
  </w:endnote>
  <w:endnote w:id="2">
    <w:p w:rsidR="000030FC" w:rsidRPr="00300B70" w:rsidRDefault="000030FC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0030FC" w:rsidRPr="00300B70" w:rsidRDefault="000030FC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FC" w:rsidRDefault="000030FC" w:rsidP="00AB47AE">
      <w:pPr>
        <w:spacing w:after="0" w:line="240" w:lineRule="auto"/>
      </w:pPr>
      <w:r>
        <w:separator/>
      </w:r>
    </w:p>
  </w:footnote>
  <w:footnote w:type="continuationSeparator" w:id="0">
    <w:p w:rsidR="000030FC" w:rsidRDefault="000030FC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0030FC" w:rsidRDefault="000030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F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030FC" w:rsidRDefault="000030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0030FC" w:rsidRDefault="000030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0FC" w:rsidRDefault="000030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30FC"/>
    <w:rsid w:val="00006195"/>
    <w:rsid w:val="00007B0F"/>
    <w:rsid w:val="00010AE3"/>
    <w:rsid w:val="00010E57"/>
    <w:rsid w:val="00015F72"/>
    <w:rsid w:val="00021625"/>
    <w:rsid w:val="000243D2"/>
    <w:rsid w:val="000253F1"/>
    <w:rsid w:val="00037FBF"/>
    <w:rsid w:val="00050184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A6B84"/>
    <w:rsid w:val="000B1B12"/>
    <w:rsid w:val="000B59FB"/>
    <w:rsid w:val="000B7333"/>
    <w:rsid w:val="000B7D5C"/>
    <w:rsid w:val="000C22CC"/>
    <w:rsid w:val="000C4C1B"/>
    <w:rsid w:val="000C6AF2"/>
    <w:rsid w:val="000D17D0"/>
    <w:rsid w:val="000D2B8F"/>
    <w:rsid w:val="000D7EC8"/>
    <w:rsid w:val="000F13C3"/>
    <w:rsid w:val="00102605"/>
    <w:rsid w:val="001058B3"/>
    <w:rsid w:val="001126EC"/>
    <w:rsid w:val="00114504"/>
    <w:rsid w:val="0011666B"/>
    <w:rsid w:val="001166A8"/>
    <w:rsid w:val="001200A5"/>
    <w:rsid w:val="00121F49"/>
    <w:rsid w:val="00122205"/>
    <w:rsid w:val="001243DE"/>
    <w:rsid w:val="001253AE"/>
    <w:rsid w:val="00130343"/>
    <w:rsid w:val="00130DC9"/>
    <w:rsid w:val="00133A80"/>
    <w:rsid w:val="00136016"/>
    <w:rsid w:val="00140BDC"/>
    <w:rsid w:val="001455CB"/>
    <w:rsid w:val="00146C24"/>
    <w:rsid w:val="0015149D"/>
    <w:rsid w:val="00154261"/>
    <w:rsid w:val="00157054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1F91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61B97"/>
    <w:rsid w:val="00274A38"/>
    <w:rsid w:val="002774C2"/>
    <w:rsid w:val="0028124D"/>
    <w:rsid w:val="002821AE"/>
    <w:rsid w:val="00287B1A"/>
    <w:rsid w:val="002A6390"/>
    <w:rsid w:val="002A77C5"/>
    <w:rsid w:val="002B006A"/>
    <w:rsid w:val="002B014E"/>
    <w:rsid w:val="002B183B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3FC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2703"/>
    <w:rsid w:val="0054406B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D48E9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3FEF"/>
    <w:rsid w:val="007248A3"/>
    <w:rsid w:val="00725495"/>
    <w:rsid w:val="00725694"/>
    <w:rsid w:val="007260B2"/>
    <w:rsid w:val="00741FE1"/>
    <w:rsid w:val="00742AEE"/>
    <w:rsid w:val="00743EB5"/>
    <w:rsid w:val="00746284"/>
    <w:rsid w:val="00757FC2"/>
    <w:rsid w:val="00763D53"/>
    <w:rsid w:val="00770716"/>
    <w:rsid w:val="00784E97"/>
    <w:rsid w:val="00785EBE"/>
    <w:rsid w:val="0079040D"/>
    <w:rsid w:val="0079773B"/>
    <w:rsid w:val="00797E3F"/>
    <w:rsid w:val="007A1FF5"/>
    <w:rsid w:val="007A606F"/>
    <w:rsid w:val="007B3722"/>
    <w:rsid w:val="007B635A"/>
    <w:rsid w:val="007C01AC"/>
    <w:rsid w:val="007C1997"/>
    <w:rsid w:val="007C1A54"/>
    <w:rsid w:val="007C3D0D"/>
    <w:rsid w:val="007C442D"/>
    <w:rsid w:val="007D1DE8"/>
    <w:rsid w:val="007E17B1"/>
    <w:rsid w:val="007E4C72"/>
    <w:rsid w:val="007F3CAF"/>
    <w:rsid w:val="007F3EA1"/>
    <w:rsid w:val="007F4CF5"/>
    <w:rsid w:val="008045AA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73355"/>
    <w:rsid w:val="00874008"/>
    <w:rsid w:val="00875984"/>
    <w:rsid w:val="00882E8B"/>
    <w:rsid w:val="0088325A"/>
    <w:rsid w:val="0088404A"/>
    <w:rsid w:val="00887C8F"/>
    <w:rsid w:val="00890F62"/>
    <w:rsid w:val="008911DF"/>
    <w:rsid w:val="0089768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19B6"/>
    <w:rsid w:val="009E21BF"/>
    <w:rsid w:val="009E4C50"/>
    <w:rsid w:val="009E6A36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CB"/>
    <w:rsid w:val="00A63847"/>
    <w:rsid w:val="00A71123"/>
    <w:rsid w:val="00A7730F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4BE6"/>
    <w:rsid w:val="00AD7DA0"/>
    <w:rsid w:val="00AE28B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666"/>
    <w:rsid w:val="00B77B06"/>
    <w:rsid w:val="00B80C8F"/>
    <w:rsid w:val="00B9001D"/>
    <w:rsid w:val="00B946F1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2614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3850"/>
    <w:rsid w:val="00D05D73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1357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01CA"/>
    <w:rsid w:val="00E32299"/>
    <w:rsid w:val="00E338F5"/>
    <w:rsid w:val="00E41C8C"/>
    <w:rsid w:val="00E47322"/>
    <w:rsid w:val="00E50527"/>
    <w:rsid w:val="00E52561"/>
    <w:rsid w:val="00E54210"/>
    <w:rsid w:val="00E6693F"/>
    <w:rsid w:val="00E70C99"/>
    <w:rsid w:val="00E7499C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2EF1"/>
    <w:rsid w:val="00EB548C"/>
    <w:rsid w:val="00EC4A5C"/>
    <w:rsid w:val="00EC7DBE"/>
    <w:rsid w:val="00ED4EEB"/>
    <w:rsid w:val="00ED6777"/>
    <w:rsid w:val="00EE5C7F"/>
    <w:rsid w:val="00EE700C"/>
    <w:rsid w:val="00EF2B06"/>
    <w:rsid w:val="00EF2CF4"/>
    <w:rsid w:val="00EF65AC"/>
    <w:rsid w:val="00F04D92"/>
    <w:rsid w:val="00F10236"/>
    <w:rsid w:val="00F23302"/>
    <w:rsid w:val="00F2521E"/>
    <w:rsid w:val="00F31CF5"/>
    <w:rsid w:val="00F332E1"/>
    <w:rsid w:val="00F34F02"/>
    <w:rsid w:val="00F43B7D"/>
    <w:rsid w:val="00F444B1"/>
    <w:rsid w:val="00F5032D"/>
    <w:rsid w:val="00F52D61"/>
    <w:rsid w:val="00F52D67"/>
    <w:rsid w:val="00F52F90"/>
    <w:rsid w:val="00F62CF5"/>
    <w:rsid w:val="00F73BA9"/>
    <w:rsid w:val="00F763DC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75A6"/>
    <w:rsid w:val="00FC02B0"/>
    <w:rsid w:val="00FC2198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C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74628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4628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46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5C77-9734-49F3-B73C-32B8DE72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Григорова Ольга Александровна</cp:lastModifiedBy>
  <cp:revision>34</cp:revision>
  <cp:lastPrinted>2019-08-15T12:29:00Z</cp:lastPrinted>
  <dcterms:created xsi:type="dcterms:W3CDTF">2018-12-14T10:59:00Z</dcterms:created>
  <dcterms:modified xsi:type="dcterms:W3CDTF">2019-08-15T12:29:00Z</dcterms:modified>
</cp:coreProperties>
</file>