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89" w:rsidRPr="00354189" w:rsidRDefault="00354189" w:rsidP="0035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18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354189" w:rsidRPr="00354189" w:rsidRDefault="00354189" w:rsidP="0035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541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Изделия хозяйственные и санитарно-гигиенические. Поставка инвалидам подгузников для детей-инвалидов</w:t>
      </w:r>
    </w:p>
    <w:p w:rsidR="00354189" w:rsidRPr="00354189" w:rsidRDefault="00354189" w:rsidP="003541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Требования к месту, условиям, объемам и срокам (периодам) поставки</w:t>
      </w:r>
    </w:p>
    <w:p w:rsidR="00354189" w:rsidRPr="00354189" w:rsidRDefault="00354189" w:rsidP="0035418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3"/>
          <w:lang w:eastAsia="ar-SA"/>
        </w:rPr>
      </w:pPr>
      <w:r w:rsidRPr="00354189">
        <w:rPr>
          <w:rFonts w:ascii="Times New Roman" w:eastAsia="Arial" w:hAnsi="Times New Roman" w:cs="Times New Roman"/>
          <w:szCs w:val="23"/>
          <w:lang w:eastAsia="ar-SA"/>
        </w:rPr>
        <w:t>Поставить одновременно все количество Товара (в соответствии с Описанием объекта закупки) н</w:t>
      </w:r>
      <w:r>
        <w:rPr>
          <w:rFonts w:ascii="Times New Roman" w:eastAsia="Arial" w:hAnsi="Times New Roman" w:cs="Times New Roman"/>
          <w:szCs w:val="23"/>
          <w:lang w:eastAsia="ar-SA"/>
        </w:rPr>
        <w:t xml:space="preserve">а территорию Ростовской области </w:t>
      </w:r>
      <w:r w:rsidRPr="00354189">
        <w:rPr>
          <w:rFonts w:ascii="Times New Roman" w:eastAsia="Arial" w:hAnsi="Times New Roman" w:cs="Times New Roman"/>
          <w:szCs w:val="23"/>
          <w:lang w:eastAsia="ar-SA"/>
        </w:rPr>
        <w:t xml:space="preserve">в соответствии с Таблицей №1 на склад Поставщика или иное помещение, находящееся в его распоряжении или собственности, в течение </w:t>
      </w:r>
      <w:r w:rsidRPr="003541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10 (десяти) </w:t>
      </w:r>
      <w:r w:rsidRPr="00354189">
        <w:rPr>
          <w:rFonts w:ascii="Times New Roman" w:eastAsia="Arial" w:hAnsi="Times New Roman" w:cs="Times New Roman"/>
          <w:szCs w:val="23"/>
          <w:lang w:eastAsia="ar-SA"/>
        </w:rPr>
        <w:t xml:space="preserve">рабочих дней </w:t>
      </w:r>
      <w:proofErr w:type="gramStart"/>
      <w:r w:rsidRPr="00354189">
        <w:rPr>
          <w:rFonts w:ascii="Times New Roman" w:eastAsia="Arial" w:hAnsi="Times New Roman" w:cs="Times New Roman"/>
          <w:szCs w:val="23"/>
          <w:lang w:eastAsia="ar-SA"/>
        </w:rPr>
        <w:t>с даты подписания</w:t>
      </w:r>
      <w:proofErr w:type="gramEnd"/>
      <w:r w:rsidRPr="00354189">
        <w:rPr>
          <w:rFonts w:ascii="Times New Roman" w:eastAsia="Arial" w:hAnsi="Times New Roman" w:cs="Times New Roman"/>
          <w:szCs w:val="23"/>
          <w:lang w:eastAsia="ar-SA"/>
        </w:rPr>
        <w:t xml:space="preserve"> Государственного контракта для осуществления проверки качества Товара.</w:t>
      </w:r>
    </w:p>
    <w:p w:rsidR="00354189" w:rsidRPr="00354189" w:rsidRDefault="00354189" w:rsidP="0035418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3"/>
          <w:lang w:eastAsia="ar-SA"/>
        </w:rPr>
      </w:pPr>
      <w:r w:rsidRPr="00354189">
        <w:rPr>
          <w:rFonts w:ascii="Times New Roman" w:eastAsia="Arial" w:hAnsi="Times New Roman" w:cs="Times New Roman"/>
          <w:szCs w:val="23"/>
          <w:lang w:eastAsia="ar-SA"/>
        </w:rPr>
        <w:t>В течение двух рабочих дней после поставки всего объема Товара, Поставщик обязан уведомить об этом Заказчика в письменной форме (в том числе посредством факсимильной связи), пригласить Заказчика для проверки Товара на соответствие количеству, комплектности, объему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</w:t>
      </w:r>
    </w:p>
    <w:p w:rsidR="00354189" w:rsidRPr="00354189" w:rsidRDefault="00354189" w:rsidP="0035418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3"/>
          <w:lang w:eastAsia="ar-SA"/>
        </w:rPr>
      </w:pPr>
      <w:r w:rsidRPr="00354189">
        <w:rPr>
          <w:rFonts w:ascii="Times New Roman" w:eastAsia="Arial" w:hAnsi="Times New Roman" w:cs="Times New Roman"/>
          <w:szCs w:val="23"/>
          <w:lang w:eastAsia="ar-SA"/>
        </w:rPr>
        <w:t>Отсутствие полного количества</w:t>
      </w:r>
      <w:bookmarkStart w:id="0" w:name="_GoBack"/>
      <w:bookmarkEnd w:id="0"/>
      <w:r w:rsidRPr="00354189">
        <w:rPr>
          <w:rFonts w:ascii="Times New Roman" w:eastAsia="Arial" w:hAnsi="Times New Roman" w:cs="Times New Roman"/>
          <w:szCs w:val="23"/>
          <w:lang w:eastAsia="ar-SA"/>
        </w:rPr>
        <w:t xml:space="preserve"> Товара на момент проверки и несоответствие Описанию объекта закупки считается существенным нарушением условий контракта. </w:t>
      </w:r>
    </w:p>
    <w:p w:rsidR="00354189" w:rsidRPr="00354189" w:rsidRDefault="00354189" w:rsidP="00354189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4"/>
          <w:szCs w:val="23"/>
          <w:lang w:eastAsia="ar-SA"/>
        </w:rPr>
      </w:pPr>
      <w:r w:rsidRPr="00354189">
        <w:rPr>
          <w:rFonts w:ascii="Times New Roman" w:eastAsia="Arial" w:hAnsi="Times New Roman" w:cs="Times New Roman"/>
          <w:sz w:val="24"/>
          <w:szCs w:val="23"/>
          <w:lang w:eastAsia="ar-SA"/>
        </w:rPr>
        <w:t>Таблица №1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4733"/>
        <w:gridCol w:w="1233"/>
        <w:gridCol w:w="920"/>
        <w:gridCol w:w="864"/>
        <w:gridCol w:w="1377"/>
      </w:tblGrid>
      <w:tr w:rsidR="00354189" w:rsidRPr="00354189" w:rsidTr="005B2289">
        <w:tc>
          <w:tcPr>
            <w:tcW w:w="1471" w:type="dxa"/>
            <w:shd w:val="clear" w:color="auto" w:fill="auto"/>
            <w:vAlign w:val="center"/>
          </w:tcPr>
          <w:p w:rsidR="00354189" w:rsidRPr="00354189" w:rsidRDefault="00354189" w:rsidP="0035418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Товара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Описание Товара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6"/>
                <w:szCs w:val="18"/>
                <w:lang w:eastAsia="ar-SA"/>
              </w:rPr>
              <w:t>Наименование</w:t>
            </w:r>
          </w:p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6"/>
                <w:szCs w:val="18"/>
                <w:lang w:eastAsia="ar-SA"/>
              </w:rPr>
              <w:t>Заказчика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6"/>
                <w:szCs w:val="18"/>
                <w:lang w:eastAsia="ar-SA"/>
              </w:rPr>
              <w:t>Кол-во (шт.)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54189" w:rsidRPr="00354189" w:rsidRDefault="00354189" w:rsidP="00354189">
            <w:pPr>
              <w:spacing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  <w:p w:rsidR="00354189" w:rsidRPr="00354189" w:rsidRDefault="00354189" w:rsidP="00354189">
            <w:pPr>
              <w:spacing w:after="6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ед.</w:t>
            </w:r>
          </w:p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(руб.)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54189" w:rsidRPr="00354189" w:rsidRDefault="00354189" w:rsidP="00354189">
            <w:pPr>
              <w:spacing w:after="6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Суммарная стоимость</w:t>
            </w:r>
          </w:p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(руб.)</w:t>
            </w:r>
          </w:p>
        </w:tc>
      </w:tr>
      <w:tr w:rsidR="007D1658" w:rsidRPr="00354189" w:rsidTr="007D1658">
        <w:trPr>
          <w:trHeight w:val="9443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Подгузники для детей весом до 9 кг</w:t>
            </w:r>
          </w:p>
        </w:tc>
        <w:tc>
          <w:tcPr>
            <w:tcW w:w="4733" w:type="dxa"/>
            <w:vMerge w:val="restart"/>
            <w:shd w:val="clear" w:color="auto" w:fill="auto"/>
          </w:tcPr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детские должны обеспечивать соблюдение санитарно-гигиенических условий для детей - инвалидов с нарушениями функций выделения и максимальным весом детей до 9 кг (включительно).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 и комфорт. Внутренняя поверхность подгузников детских должна быть из гипоаллергенного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 Верхний дышащий слой должен пропускать влагу в одном направлении и обеспечивать сухость кожи. Впитываемость должна обеспечиваться двойным впитывающим вкладышем с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суперабсорбентом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, превращающим влагу в гель. 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детские должны иметь двойные застёжки (липучки для многократного использования).  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Печатное изображение на подгузниках детских должно быть чётким без искажений и пробелов. Не допускаются следы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выщипывания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волокон с поверхности подгузника детского и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отмарывания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краски. 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Требования к размерам, упаковке, отгрузке подгузников детских.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Маркировка упаковки подгузников детских должна включать: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условное обозначение группы подгузников детских, товарную марку (при наличии), обозначение размера </w:t>
            </w: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lastRenderedPageBreak/>
              <w:t>товара или номера (при наличии);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обозначение впитываемости товара (при наличии);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страну-изготовителя;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наименование предприятия-изготовителя, юридический адрес, товарный знак (при наличии);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отличительные характеристики подгузников детских в соответствии с их 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техническим исполнением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(при наличии);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номер артикула (при наличии);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товаав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в упаковке;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дату (месяц, год) изготовления;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срок годности;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указания по утилизации: «Не бросать в канализацию»;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правила использования (при необходимости);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штриховой код товара (при наличии);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информацию о сертификации (при наличии).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детские должны быть упакованы по несколько штук 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Подгузники детские должны соответствовать требованиям стандарта ГОСТ 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52557-2011 "Подгузники детские бумажные. Общие технические условия".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должны соответствовать требованиям государственных стандартов, иметь декларацию о соответствии или сертификат соответствия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(либо документов их заменяющих)</w:t>
            </w:r>
          </w:p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Место, условия и сроки (периоды) поставки подгузников детских:</w:t>
            </w:r>
          </w:p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Передать Товар Получателям по месту нахождения Получателя в течение 30 календарных дней с момента получения реестра Направлений, но </w:t>
            </w:r>
            <w:r w:rsidRPr="00354189">
              <w:rPr>
                <w:rFonts w:ascii="Times New Roman" w:eastAsia="Microsoft YaHei" w:hAnsi="Times New Roman" w:cs="Times New Roman"/>
                <w:b/>
                <w:sz w:val="18"/>
                <w:szCs w:val="18"/>
                <w:lang w:eastAsia="ru-RU"/>
              </w:rPr>
              <w:t>не позднее 20.12.2019 г.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Государственное учреждение – Ростовское региональное отделение Фонда социального страхования Российской Федерации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2 580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11,27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29 076,60</w:t>
            </w:r>
          </w:p>
        </w:tc>
      </w:tr>
      <w:tr w:rsidR="007D1658" w:rsidRPr="00354189" w:rsidTr="005B2289">
        <w:trPr>
          <w:trHeight w:val="2679"/>
        </w:trPr>
        <w:tc>
          <w:tcPr>
            <w:tcW w:w="1471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vMerge/>
            <w:shd w:val="clear" w:color="auto" w:fill="auto"/>
          </w:tcPr>
          <w:p w:rsidR="007D1658" w:rsidRPr="00354189" w:rsidRDefault="007D1658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D1658" w:rsidRPr="00354189" w:rsidTr="007D1658">
        <w:trPr>
          <w:trHeight w:val="5125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lastRenderedPageBreak/>
              <w:t>Подгузники для детей весом до 20 кг</w:t>
            </w:r>
          </w:p>
        </w:tc>
        <w:tc>
          <w:tcPr>
            <w:tcW w:w="4733" w:type="dxa"/>
            <w:vMerge w:val="restart"/>
            <w:shd w:val="clear" w:color="auto" w:fill="auto"/>
          </w:tcPr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Подгузники детские должны обеспечивать соблюдение санитарно-гигиенических условий для детей - инвалидов с нарушениями функций выделения и максимальным весом детей от 9 кг до 20 кг (включительно).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и комфорт. Внутренняя поверхность подгузников детских должна быть из гипоаллергенного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 Верхний дышащий слой должен пропускать влагу в одном направлении и обеспечивать сухость кожи. Впитываемость должна обеспечиваться двойным впитывающим вкладышем с </w:t>
            </w:r>
            <w:proofErr w:type="spellStart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суперабсорбентом</w:t>
            </w:r>
            <w:proofErr w:type="spellEnd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превращающим влагу в гель. 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многократного использования без повреждения клеящей зоны и более плотного прилегания к телу подгузники детские должны иметь двойные застёжки (липучки для многократного использования). 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Печатное изображение на подгузниках детских должно быть чётким без искажений и пробелов. Не допускаются следы </w:t>
            </w:r>
            <w:proofErr w:type="spellStart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выщипывания</w:t>
            </w:r>
            <w:proofErr w:type="spellEnd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волокон с поверхности подгузника детского и </w:t>
            </w:r>
            <w:proofErr w:type="spellStart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отмарывания</w:t>
            </w:r>
            <w:proofErr w:type="spellEnd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краски.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Требования к размерам, упаковке, отгрузке подгузников детских. Маркировка упаковки подгузников детских должна включать: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условное обозначение группы подгузников детских, товарную марку (при наличии), обозначение размера товара или номера (при наличии);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обозначение впитываемости товара (при наличии);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страну-изготовителя;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предприятия-изготовителя, юридический адрес, товарный знак (при наличии);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отличительные характеристики подгузников детских в соответствии с их </w:t>
            </w:r>
            <w:proofErr w:type="gramStart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техническим исполнением</w:t>
            </w:r>
            <w:proofErr w:type="gramEnd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номер артикула (при наличии);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товара в упаковке;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дату (месяц, год) изготовления;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срок годности;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указания по утилизации: «Не бросать в канализацию»;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правила использования (при необходимости);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штриховой код товара (при наличии);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о сертификации (при наличии).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Подгузники детские должны быть упакованы по несколько штук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Подгузники детские должны соответствовать требованиям стандарта ГОСТ </w:t>
            </w:r>
            <w:proofErr w:type="gramStart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52557-2011 "Подгузники детские бумажные. Общие технические условия".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Подгузники должны соответствовать требованиям государственных стандартов, иметь декларацию о соответствии или сертификат соответствия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(либо документов их заменяющих)</w:t>
            </w:r>
          </w:p>
          <w:p w:rsidR="007D1658" w:rsidRPr="00354189" w:rsidRDefault="007D1658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>Место, условия и сроки (периоды) поставки подгузников детских:</w:t>
            </w:r>
          </w:p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Передать Товар Получателям по месту нахождения Получателя в течение 30 календарных дней с момента получения реестра </w:t>
            </w: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Направлений</w:t>
            </w:r>
            <w:r w:rsidRPr="003541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но </w:t>
            </w:r>
            <w:r w:rsidRPr="003541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 позднее 20.12.2019 г.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Государственное учреждение – Ростовское региональное отделение Фонда социального страхования Российской Федерации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55 800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10,41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580 878,00</w:t>
            </w:r>
          </w:p>
        </w:tc>
      </w:tr>
      <w:tr w:rsidR="007D1658" w:rsidRPr="00354189" w:rsidTr="005B2289">
        <w:tc>
          <w:tcPr>
            <w:tcW w:w="1471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vMerge/>
            <w:shd w:val="clear" w:color="auto" w:fill="auto"/>
          </w:tcPr>
          <w:p w:rsidR="007D1658" w:rsidRPr="00354189" w:rsidRDefault="007D1658" w:rsidP="002E0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7D1658" w:rsidRPr="00354189" w:rsidRDefault="007D1658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93AD0" w:rsidRPr="00354189" w:rsidTr="006C61A3">
        <w:trPr>
          <w:trHeight w:val="14448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Подгузники для детей весом свыше 20 кг</w:t>
            </w:r>
          </w:p>
        </w:tc>
        <w:tc>
          <w:tcPr>
            <w:tcW w:w="4733" w:type="dxa"/>
            <w:vMerge w:val="restart"/>
            <w:shd w:val="clear" w:color="auto" w:fill="auto"/>
          </w:tcPr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детские должны обеспечивать соблюдение санитарно-гигиенических условий для детей - инвалидов с нарушениями функций выделения и максимальным весом не более 25 кг.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 и комфорт. 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Внутренняя поверхность подгузников детских должна быть из гипоаллергенного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 Верхний дышащий слой должен пропускать влагу в одном направлении и обеспечивать сухость кожи. Впитываемость должна обеспечиваться двойным впитывающим вкладышем с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суперабсорбентом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, превращающим влагу в гель. 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детские должны иметь двойные застёжки (липучки для многократного использования).  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Печатное изображение на подгузниках детских должно быть чётким без искажений и пробелов. Не допускаются следы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выщипывания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волокон с поверхности подгузника детского и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отмарывания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краски. 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Требования к размерам, упаковке, отгрузке подгузников детских.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Маркировка упаковки подгузников детских должна включать: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условное обозначение группы подгузников детских, товарную марку (при наличии), обозначение размера товара или номера (при наличии)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;о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бозначение впитываемости товара (при наличии);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страну-изготовителя;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наименование предприятия-изготовителя, юридический адрес, товарный знак (при наличии);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отличительные характеристики подгузников детских в соответствии с их 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техническим исполнением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(при наличии);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номер артикула (при наличии);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количество товара в упаковке;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дату (месяц, год) изготовления;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срок годности;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указания по утилизации: «Не бросать в канализацию»;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правила использования (при необходимости);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штриховой код товара (при наличии);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информацию о сертификации (при наличии).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детские должны быть упакованы по несколько штук 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Подгузники детские должны соответствовать требованиям стандарта ГОСТ 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52557-2011 "Подгузники детские бумажные. Общие технические условия".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должны соответствовать требованиям государственных стандартов, иметь декларацию о соответствии или сертификат соответствия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(либо документов их заменяющих)</w:t>
            </w:r>
          </w:p>
          <w:p w:rsidR="00793AD0" w:rsidRPr="00354189" w:rsidRDefault="00793AD0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Место, условия и сроки (периоды) поставки подгузников детских:</w:t>
            </w:r>
          </w:p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Передать Товар Получателям по месту нахождения Получателя в течение 30 календарных дней с момента получения реестра Направлений, но </w:t>
            </w:r>
            <w:r w:rsidRPr="00354189">
              <w:rPr>
                <w:rFonts w:ascii="Times New Roman" w:eastAsia="Microsoft YaHei" w:hAnsi="Times New Roman" w:cs="Times New Roman"/>
                <w:b/>
                <w:sz w:val="18"/>
                <w:szCs w:val="18"/>
                <w:lang w:eastAsia="ru-RU"/>
              </w:rPr>
              <w:t>не позднее 20.12.2019 г.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Государственное учреждение – Ростовское региональное отделение Фонда социального страхования Российской Федерации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47 010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14,02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659 080,20</w:t>
            </w:r>
          </w:p>
        </w:tc>
      </w:tr>
      <w:tr w:rsidR="00793AD0" w:rsidRPr="00354189" w:rsidTr="005B2289">
        <w:tc>
          <w:tcPr>
            <w:tcW w:w="1471" w:type="dxa"/>
            <w:vMerge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vMerge/>
            <w:shd w:val="clear" w:color="auto" w:fill="auto"/>
          </w:tcPr>
          <w:p w:rsidR="00793AD0" w:rsidRPr="00354189" w:rsidRDefault="00793AD0" w:rsidP="002E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793AD0" w:rsidRPr="00354189" w:rsidRDefault="00793AD0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61A3" w:rsidRPr="00354189" w:rsidTr="006C61A3">
        <w:trPr>
          <w:trHeight w:val="10086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:rsidR="006C61A3" w:rsidRPr="00354189" w:rsidRDefault="006C61A3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Подгузники для детей весом свыше 20 кг</w:t>
            </w:r>
          </w:p>
        </w:tc>
        <w:tc>
          <w:tcPr>
            <w:tcW w:w="4733" w:type="dxa"/>
            <w:vMerge w:val="restart"/>
            <w:shd w:val="clear" w:color="auto" w:fill="auto"/>
          </w:tcPr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детские должны обеспечивать соблюдение санитарно-гигиенических условий для детей - инвалидов с нарушениями функций выделения и весом не менее 25 кг.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 и комфорт. 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Внутренняя поверхность подгузников детских должна быть из гипоаллергенного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 Верхний дышащий слой должен пропускать влагу в одном направлении и обеспечивать сухость кожи. Впитываемость должна обеспечиваться двойным впитывающим вкладышем с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суперабсорбентом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, превращающим влагу в гель. 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Для многократного использования без повреждения клеящей зоны и более плотного прилегания к телу подгузники детские должны иметь двойные застёжки (липучки для многократного использования).  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Печатное изображение на подгузниках детских должно быть чётким без искажений и пробелов. Не допускаются следы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выщипывания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волокон с поверхности подгузника детского и </w:t>
            </w:r>
            <w:proofErr w:type="spell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отмарывания</w:t>
            </w:r>
            <w:proofErr w:type="spell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краски. 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Требования к размерам, упаковке, отгрузке подгузников детских.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Маркировка упаковки подгузников детских должна включать: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условное обозначение группы подгузников детских, товарную марку (при наличии), обозначение размера товара или номера (при наличии)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;о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бозначение впитываемости товара (при наличии);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страну-изготовителя;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наименование предприятия-изготовителя, юридический адрес, товарный знак (при наличии);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отличительные характеристики подгузников детских в соответствии с их 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техническим исполнением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(при наличии);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номер артикула (при наличии);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количество товара в упаковке;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дату (месяц, год) изготовления;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срок годности;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указания по утилизации: «Не бросать в канализацию»;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правила использования (при необходимости);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штриховой код товара (при наличии);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информацию о сертификации (при наличии).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детские должны быть упакованы по несколько штук 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Подгузники детские должны соответствовать требованиям стандарта ГОСТ </w:t>
            </w:r>
            <w:proofErr w:type="gramStart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 52557-2011 "Подгузники детские бумажные. Общие технические условия".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Подгузники должны соответствовать требованиям государственных стандартов, иметь декларацию о соответствии или сертификат соответствия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(либо документов их заменяющих)</w:t>
            </w:r>
          </w:p>
          <w:p w:rsidR="006C61A3" w:rsidRPr="00354189" w:rsidRDefault="006C61A3" w:rsidP="002E07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>Место, условия и сроки (периоды) поставки подгузников детских:</w:t>
            </w:r>
          </w:p>
          <w:p w:rsidR="006C61A3" w:rsidRPr="00354189" w:rsidRDefault="006C61A3" w:rsidP="002E078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3"/>
                <w:lang w:eastAsia="ar-SA"/>
              </w:rPr>
            </w:pPr>
            <w:r w:rsidRPr="00354189"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  <w:t xml:space="preserve">Передать Товар Получателям по месту нахождения Получателя в течение 30 календарных дней с момента получения реестра Направлений, но </w:t>
            </w:r>
            <w:r w:rsidRPr="00354189">
              <w:rPr>
                <w:rFonts w:ascii="Times New Roman" w:eastAsia="Microsoft YaHei" w:hAnsi="Times New Roman" w:cs="Times New Roman"/>
                <w:b/>
                <w:sz w:val="18"/>
                <w:szCs w:val="18"/>
                <w:lang w:eastAsia="ru-RU"/>
              </w:rPr>
              <w:t>не позднее 20.12.2019 г.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6C61A3" w:rsidRPr="00354189" w:rsidRDefault="006C61A3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Государственное учреждение – Ростовское региональное отделение Фонда социального страхования Российской Федерации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6C61A3" w:rsidRPr="00354189" w:rsidRDefault="006C61A3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73 980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6C61A3" w:rsidRPr="00354189" w:rsidRDefault="006C61A3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14,02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C61A3" w:rsidRPr="00354189" w:rsidRDefault="006C61A3" w:rsidP="002E07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1 037 199,60</w:t>
            </w:r>
          </w:p>
        </w:tc>
      </w:tr>
      <w:tr w:rsidR="006C61A3" w:rsidRPr="00354189" w:rsidTr="005B2289">
        <w:tc>
          <w:tcPr>
            <w:tcW w:w="1471" w:type="dxa"/>
            <w:vMerge/>
            <w:shd w:val="clear" w:color="auto" w:fill="auto"/>
            <w:vAlign w:val="center"/>
          </w:tcPr>
          <w:p w:rsidR="006C61A3" w:rsidRPr="00354189" w:rsidRDefault="006C61A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vMerge/>
            <w:shd w:val="clear" w:color="auto" w:fill="auto"/>
          </w:tcPr>
          <w:p w:rsidR="006C61A3" w:rsidRPr="00354189" w:rsidRDefault="006C61A3" w:rsidP="0035418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Microsoft YaHe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6C61A3" w:rsidRPr="00354189" w:rsidRDefault="006C61A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6C61A3" w:rsidRPr="00354189" w:rsidRDefault="006C61A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6C61A3" w:rsidRPr="00354189" w:rsidRDefault="006C61A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6C61A3" w:rsidRPr="00354189" w:rsidRDefault="006C61A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54189" w:rsidRPr="00354189" w:rsidTr="005B2289">
        <w:tc>
          <w:tcPr>
            <w:tcW w:w="6204" w:type="dxa"/>
            <w:gridSpan w:val="2"/>
            <w:shd w:val="clear" w:color="auto" w:fill="auto"/>
          </w:tcPr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  <w:r w:rsidRPr="00354189"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233" w:type="dxa"/>
            <w:shd w:val="clear" w:color="auto" w:fill="auto"/>
          </w:tcPr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0" w:type="dxa"/>
            <w:shd w:val="clear" w:color="auto" w:fill="auto"/>
          </w:tcPr>
          <w:p w:rsidR="00354189" w:rsidRPr="00354189" w:rsidRDefault="00B44A2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179 370</w:t>
            </w:r>
          </w:p>
        </w:tc>
        <w:tc>
          <w:tcPr>
            <w:tcW w:w="864" w:type="dxa"/>
            <w:shd w:val="clear" w:color="auto" w:fill="auto"/>
          </w:tcPr>
          <w:p w:rsidR="00354189" w:rsidRPr="00354189" w:rsidRDefault="00354189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77" w:type="dxa"/>
            <w:shd w:val="clear" w:color="auto" w:fill="auto"/>
          </w:tcPr>
          <w:p w:rsidR="00354189" w:rsidRPr="00354189" w:rsidRDefault="00B44A23" w:rsidP="00354189">
            <w:pPr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2 306 234,40</w:t>
            </w:r>
          </w:p>
        </w:tc>
      </w:tr>
    </w:tbl>
    <w:p w:rsidR="00354189" w:rsidRPr="00354189" w:rsidRDefault="00354189" w:rsidP="00354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1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Поставка Товара осуществляется в соответствии с выбором Получателей: </w:t>
      </w:r>
    </w:p>
    <w:p w:rsidR="00E10586" w:rsidRPr="0028569E" w:rsidRDefault="00E10586" w:rsidP="00E1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По месту нахождения пунктов выдачи, организованных Поставщиком, в день обращения Получателя, но </w:t>
      </w:r>
      <w:r w:rsidRPr="002856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позднее 20.12.2019 года</w:t>
      </w: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E10586" w:rsidRPr="0028569E" w:rsidRDefault="00E10586" w:rsidP="00E1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- для инвалидов, проживающих в Ростовской области - Пункты выдачи должны быть организованы Поставщиком в г. Ростове-на-Дону, г. Новочеркасске, г. Таганроге, г. Волгодонске. Дополнительные пункты выдачи, по согласованию с Заказчиком, могут быть организованы в иных городах и населенных пунктах Ростовской области по выбору Поставщика.</w:t>
      </w:r>
    </w:p>
    <w:p w:rsidR="00E10586" w:rsidRPr="0028569E" w:rsidRDefault="00E10586" w:rsidP="00E10586">
      <w:pPr>
        <w:tabs>
          <w:tab w:val="left" w:pos="1200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E10586" w:rsidRPr="0028569E" w:rsidRDefault="00E10586" w:rsidP="00E10586">
      <w:pPr>
        <w:tabs>
          <w:tab w:val="left" w:pos="1200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E10586" w:rsidRPr="0028569E" w:rsidRDefault="00E10586" w:rsidP="00E1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Поставка товара осуществляется непосредственно Получателю по месту жительства  в течение 30 (Тридцати) календарных дней с момента получения Реестров Направлений, сформированных по заявкам инвалидов, в соответствии выбором Получателя, но </w:t>
      </w:r>
      <w:r w:rsidRPr="002856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позднее 20.12.2019 года</w:t>
      </w:r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E10586" w:rsidRDefault="00E10586" w:rsidP="00E1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Государственное учреждение – Ростовское региональное отделение Фонда социального страхования Российской Федерации: г. Ростов-на-Дону, 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Мясниковский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Родионово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Несветайский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г. Аксай,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Аксайский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Багаевский, Веселовский районы, г. Константиновск, Константиновский, Семикаракорский, Усть-Донецкий,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Мартыновский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г. Миллерово, Миллеровский,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Кашарский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Чертковский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В-Донской, Шолоховский,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Боковский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г. Зерноград, Зерноградский,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Егорлыкский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Батайск,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Кагальницкий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п. Орловский, Орловский, Пролетарский районы, п. Матвеев-Курган, Матвеево-Курганский,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Неклиновский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, Куйбышевский районы, г. Белая Калитва</w:t>
      </w:r>
      <w:proofErr w:type="gram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proofErr w:type="gram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Белокалитвенский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Тацинский районы, г. Красный Сулин, Красносулинский, Октябрьский районы, г. Волгодонск, 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Волгодонской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Цимлянский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г. Таганрог, г. Каменск - Шахтинский, Каменский, Тарасовский районы, г. Новочеркасск,  г. Азов, Азовский район, г. Сальск,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Сальский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Песчанокопский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Целинский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п. Зимовники,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Зимовниковский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Заветинский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Дубовский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Ремонтненский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районы, г. Шахты, г. Новошахтинск, г. Гуково, г. Донецк, г. Зверево, г. Морозовск, Морозовский, Советский,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Милютинский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>Обливский</w:t>
      </w:r>
      <w:proofErr w:type="spellEnd"/>
      <w:r w:rsidRPr="002856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районы.</w:t>
      </w:r>
      <w:proofErr w:type="gramEnd"/>
    </w:p>
    <w:p w:rsidR="00354189" w:rsidRPr="00354189" w:rsidRDefault="00354189" w:rsidP="00E10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354189" w:rsidRPr="00354189" w:rsidSect="00590D6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7"/>
    <w:rsid w:val="00011A3F"/>
    <w:rsid w:val="000611DC"/>
    <w:rsid w:val="00147654"/>
    <w:rsid w:val="00165B29"/>
    <w:rsid w:val="00204A3E"/>
    <w:rsid w:val="0026608D"/>
    <w:rsid w:val="002E078C"/>
    <w:rsid w:val="00324146"/>
    <w:rsid w:val="00354189"/>
    <w:rsid w:val="00435912"/>
    <w:rsid w:val="004A0D42"/>
    <w:rsid w:val="0053039D"/>
    <w:rsid w:val="00561DF8"/>
    <w:rsid w:val="00590D60"/>
    <w:rsid w:val="005B2289"/>
    <w:rsid w:val="00643C97"/>
    <w:rsid w:val="006C2E45"/>
    <w:rsid w:val="006C61A3"/>
    <w:rsid w:val="006F5D81"/>
    <w:rsid w:val="00793AD0"/>
    <w:rsid w:val="007D1658"/>
    <w:rsid w:val="008554E8"/>
    <w:rsid w:val="00884624"/>
    <w:rsid w:val="008E16BC"/>
    <w:rsid w:val="00901494"/>
    <w:rsid w:val="00A21270"/>
    <w:rsid w:val="00A247B7"/>
    <w:rsid w:val="00A60473"/>
    <w:rsid w:val="00A9067C"/>
    <w:rsid w:val="00B44A23"/>
    <w:rsid w:val="00B47F4E"/>
    <w:rsid w:val="00C03157"/>
    <w:rsid w:val="00C91F7F"/>
    <w:rsid w:val="00D20DB9"/>
    <w:rsid w:val="00D900BB"/>
    <w:rsid w:val="00DC3AA1"/>
    <w:rsid w:val="00DF4596"/>
    <w:rsid w:val="00E10586"/>
    <w:rsid w:val="00E20354"/>
    <w:rsid w:val="00EB39F8"/>
    <w:rsid w:val="00ED0923"/>
    <w:rsid w:val="00F34762"/>
    <w:rsid w:val="00F3764B"/>
    <w:rsid w:val="00F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puhkalova_ts</dc:creator>
  <cp:lastModifiedBy>lepehin</cp:lastModifiedBy>
  <cp:revision>2</cp:revision>
  <dcterms:created xsi:type="dcterms:W3CDTF">2019-08-09T08:57:00Z</dcterms:created>
  <dcterms:modified xsi:type="dcterms:W3CDTF">2019-08-09T08:57:00Z</dcterms:modified>
</cp:coreProperties>
</file>