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4048CB" w:rsidRPr="007E0698" w:rsidRDefault="00983F7C" w:rsidP="00983F7C">
      <w:pPr>
        <w:jc w:val="center"/>
        <w:rPr>
          <w:b/>
        </w:rPr>
      </w:pPr>
      <w:r w:rsidRPr="007E0698">
        <w:rPr>
          <w:b/>
        </w:rPr>
        <w:t>Поставка кресел-колясок с ручным приводом базовые, в том числе для детей-инвалидов в 2019 году</w:t>
      </w:r>
    </w:p>
    <w:tbl>
      <w:tblPr>
        <w:tblStyle w:val="ac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851"/>
        <w:gridCol w:w="992"/>
        <w:gridCol w:w="709"/>
      </w:tblGrid>
      <w:tr w:rsidR="00277140" w:rsidRPr="007E0698" w:rsidTr="008F744C">
        <w:trPr>
          <w:cantSplit/>
          <w:trHeight w:val="1346"/>
        </w:trPr>
        <w:tc>
          <w:tcPr>
            <w:tcW w:w="1277" w:type="dxa"/>
            <w:tcBorders>
              <w:bottom w:val="nil"/>
            </w:tcBorders>
            <w:vAlign w:val="center"/>
          </w:tcPr>
          <w:p w:rsidR="00277140" w:rsidRPr="007E0698" w:rsidRDefault="00277140" w:rsidP="0066462D">
            <w:pPr>
              <w:jc w:val="center"/>
              <w:rPr>
                <w:b/>
                <w:sz w:val="22"/>
                <w:szCs w:val="22"/>
              </w:rPr>
            </w:pPr>
            <w:r w:rsidRPr="007E069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:rsidR="00277140" w:rsidRPr="007E0698" w:rsidRDefault="00277140" w:rsidP="0066462D">
            <w:pPr>
              <w:jc w:val="center"/>
              <w:rPr>
                <w:b/>
                <w:sz w:val="22"/>
                <w:szCs w:val="22"/>
              </w:rPr>
            </w:pPr>
            <w:r w:rsidRPr="007E0698">
              <w:rPr>
                <w:b/>
                <w:kern w:val="3"/>
                <w:sz w:val="22"/>
                <w:szCs w:val="22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extDirection w:val="btLr"/>
            <w:vAlign w:val="center"/>
          </w:tcPr>
          <w:p w:rsidR="00277140" w:rsidRPr="007E0698" w:rsidRDefault="00277140" w:rsidP="000F3E2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E0698">
              <w:rPr>
                <w:b/>
                <w:sz w:val="22"/>
                <w:szCs w:val="22"/>
              </w:rPr>
              <w:t>Количество (</w:t>
            </w:r>
            <w:proofErr w:type="spellStart"/>
            <w:r w:rsidRPr="007E0698">
              <w:rPr>
                <w:b/>
                <w:sz w:val="22"/>
                <w:szCs w:val="22"/>
              </w:rPr>
              <w:t>шт</w:t>
            </w:r>
            <w:proofErr w:type="spellEnd"/>
            <w:r w:rsidRPr="007E069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277140" w:rsidRPr="007E0698" w:rsidRDefault="00277140" w:rsidP="000F3E23">
            <w:pPr>
              <w:ind w:left="113" w:right="113"/>
              <w:rPr>
                <w:b/>
                <w:sz w:val="22"/>
                <w:szCs w:val="22"/>
              </w:rPr>
            </w:pPr>
            <w:r w:rsidRPr="007E0698">
              <w:rPr>
                <w:b/>
                <w:sz w:val="22"/>
                <w:szCs w:val="22"/>
              </w:rPr>
              <w:t>Стоимость единицы Товара (</w:t>
            </w:r>
            <w:proofErr w:type="spellStart"/>
            <w:r w:rsidRPr="007E0698">
              <w:rPr>
                <w:b/>
                <w:sz w:val="22"/>
                <w:szCs w:val="22"/>
              </w:rPr>
              <w:t>руб</w:t>
            </w:r>
            <w:proofErr w:type="spellEnd"/>
            <w:r w:rsidRPr="007E069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277140" w:rsidRPr="007E0698" w:rsidRDefault="00277140" w:rsidP="000F3E23">
            <w:pPr>
              <w:ind w:left="113" w:right="113"/>
              <w:rPr>
                <w:b/>
                <w:sz w:val="22"/>
                <w:szCs w:val="22"/>
              </w:rPr>
            </w:pPr>
            <w:r w:rsidRPr="007E0698">
              <w:rPr>
                <w:b/>
                <w:sz w:val="22"/>
                <w:szCs w:val="22"/>
              </w:rPr>
              <w:t>Общая стоимость (</w:t>
            </w:r>
            <w:proofErr w:type="spellStart"/>
            <w:r w:rsidRPr="007E0698">
              <w:rPr>
                <w:b/>
                <w:sz w:val="22"/>
                <w:szCs w:val="22"/>
              </w:rPr>
              <w:t>руб</w:t>
            </w:r>
            <w:proofErr w:type="spellEnd"/>
            <w:r w:rsidRPr="007E0698">
              <w:rPr>
                <w:b/>
                <w:sz w:val="22"/>
                <w:szCs w:val="22"/>
              </w:rPr>
              <w:t>)</w:t>
            </w:r>
          </w:p>
        </w:tc>
      </w:tr>
      <w:tr w:rsidR="00277140" w:rsidRPr="007E0698" w:rsidTr="00F70C68">
        <w:trPr>
          <w:trHeight w:val="10630"/>
        </w:trPr>
        <w:tc>
          <w:tcPr>
            <w:tcW w:w="1277" w:type="dxa"/>
            <w:tcBorders>
              <w:top w:val="nil"/>
            </w:tcBorders>
          </w:tcPr>
          <w:p w:rsidR="00E722F9" w:rsidRDefault="00F04414" w:rsidP="00F70C68">
            <w:pPr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Кресло-коляск</w:t>
            </w:r>
            <w:r w:rsidR="001F19AD" w:rsidRPr="007E0698">
              <w:rPr>
                <w:sz w:val="22"/>
                <w:szCs w:val="22"/>
              </w:rPr>
              <w:t xml:space="preserve">и </w:t>
            </w:r>
            <w:r w:rsidR="001019DD" w:rsidRPr="007E0698">
              <w:rPr>
                <w:sz w:val="22"/>
                <w:szCs w:val="22"/>
              </w:rPr>
              <w:t xml:space="preserve">с ручным приводом </w:t>
            </w:r>
            <w:proofErr w:type="gramStart"/>
            <w:r w:rsidR="001019DD" w:rsidRPr="007E0698">
              <w:rPr>
                <w:sz w:val="22"/>
                <w:szCs w:val="22"/>
              </w:rPr>
              <w:t>базовые</w:t>
            </w:r>
            <w:proofErr w:type="gramEnd"/>
            <w:r w:rsidR="001019DD" w:rsidRPr="007E0698">
              <w:rPr>
                <w:sz w:val="22"/>
                <w:szCs w:val="22"/>
              </w:rPr>
              <w:t xml:space="preserve"> комнатные, в том числе для детей-инвалидов</w:t>
            </w: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  <w:p w:rsidR="00E722F9" w:rsidRPr="007E0698" w:rsidRDefault="00E722F9" w:rsidP="001019DD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451B60" w:rsidRPr="007E0698" w:rsidRDefault="00451B60" w:rsidP="00451B60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lastRenderedPageBreak/>
              <w:t xml:space="preserve"> 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1019DD" w:rsidRPr="007E0698" w:rsidRDefault="001019DD" w:rsidP="001019DD">
            <w:pPr>
              <w:pStyle w:val="21"/>
              <w:ind w:firstLine="426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</w:t>
            </w:r>
            <w:r w:rsidR="00DC56A9" w:rsidRPr="007E0698">
              <w:rPr>
                <w:sz w:val="22"/>
                <w:szCs w:val="22"/>
              </w:rPr>
              <w:t xml:space="preserve"> </w:t>
            </w:r>
            <w:r w:rsidRPr="007E0698">
              <w:rPr>
                <w:sz w:val="22"/>
                <w:szCs w:val="22"/>
              </w:rPr>
              <w:t xml:space="preserve">исполнения, обеспечивающую стабильность конструкции. </w:t>
            </w:r>
          </w:p>
          <w:p w:rsidR="001019DD" w:rsidRPr="007E0698" w:rsidRDefault="001019DD" w:rsidP="001019DD">
            <w:pPr>
              <w:pStyle w:val="21"/>
              <w:ind w:firstLine="426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1019DD" w:rsidRPr="007E0698" w:rsidRDefault="001019DD" w:rsidP="001019DD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22"/>
                <w:szCs w:val="22"/>
              </w:rPr>
            </w:pPr>
            <w:r w:rsidRPr="007E0698">
              <w:rPr>
                <w:spacing w:val="1"/>
                <w:sz w:val="22"/>
                <w:szCs w:val="22"/>
              </w:rPr>
              <w:t>Возможность складывания и раскладывания кресла-коляски</w:t>
            </w:r>
            <w:r w:rsidRPr="007E0698">
              <w:rPr>
                <w:spacing w:val="-1"/>
                <w:sz w:val="22"/>
                <w:szCs w:val="22"/>
              </w:rPr>
              <w:t xml:space="preserve"> без применения инструмента.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E0698">
                <w:rPr>
                  <w:sz w:val="22"/>
                  <w:szCs w:val="22"/>
                </w:rPr>
                <w:t>15 см</w:t>
              </w:r>
            </w:smartTag>
            <w:r w:rsidRPr="007E0698">
              <w:rPr>
                <w:sz w:val="22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  <w:u w:val="single"/>
              </w:rPr>
            </w:pPr>
            <w:r w:rsidRPr="007E0698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E0698">
              <w:rPr>
                <w:sz w:val="22"/>
                <w:szCs w:val="22"/>
                <w:u w:val="single"/>
              </w:rPr>
              <w:t xml:space="preserve">.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E0698">
                <w:rPr>
                  <w:sz w:val="22"/>
                  <w:szCs w:val="22"/>
                </w:rPr>
                <w:t>57 см</w:t>
              </w:r>
            </w:smartTag>
            <w:r w:rsidRPr="007E0698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E0698">
                <w:rPr>
                  <w:sz w:val="22"/>
                  <w:szCs w:val="22"/>
                </w:rPr>
                <w:t>62 см</w:t>
              </w:r>
            </w:smartTag>
            <w:r w:rsidRPr="007E0698">
              <w:rPr>
                <w:sz w:val="22"/>
                <w:szCs w:val="22"/>
              </w:rPr>
              <w:t xml:space="preserve">.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E0698">
              <w:rPr>
                <w:sz w:val="22"/>
                <w:szCs w:val="22"/>
              </w:rPr>
              <w:t>ободами</w:t>
            </w:r>
            <w:proofErr w:type="spellEnd"/>
            <w:r w:rsidRPr="007E0698">
              <w:rPr>
                <w:sz w:val="22"/>
                <w:szCs w:val="22"/>
              </w:rPr>
              <w:t xml:space="preserve"> и обручами.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860FD" w:rsidRPr="007E0698" w:rsidRDefault="005860F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Между слоями обивки должны находится специальные съемные,</w:t>
            </w:r>
            <w:r w:rsidR="009376C5" w:rsidRPr="007E0698">
              <w:rPr>
                <w:sz w:val="22"/>
                <w:szCs w:val="22"/>
              </w:rPr>
              <w:t xml:space="preserve"> регулируемые по натяжению, ленты-липучки, обеспечивающие индивидуальную регулировку натяжения обшивки спинки в зависимости от деформации в грудно-поясничном отделе позвоночника (</w:t>
            </w:r>
            <w:proofErr w:type="spellStart"/>
            <w:r w:rsidR="009376C5" w:rsidRPr="007E0698">
              <w:rPr>
                <w:sz w:val="22"/>
                <w:szCs w:val="22"/>
              </w:rPr>
              <w:t>люмбальный</w:t>
            </w:r>
            <w:proofErr w:type="spellEnd"/>
            <w:r w:rsidR="009376C5" w:rsidRPr="007E0698">
              <w:rPr>
                <w:sz w:val="22"/>
                <w:szCs w:val="22"/>
              </w:rPr>
              <w:t xml:space="preserve"> изгиб).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E0698">
                <w:rPr>
                  <w:sz w:val="22"/>
                  <w:szCs w:val="22"/>
                </w:rPr>
                <w:t>42,5 см</w:t>
              </w:r>
            </w:smartTag>
            <w:r w:rsidRPr="007E0698">
              <w:rPr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0698">
                <w:rPr>
                  <w:sz w:val="22"/>
                  <w:szCs w:val="22"/>
                </w:rPr>
                <w:t>5 см</w:t>
              </w:r>
            </w:smartTag>
            <w:r w:rsidRPr="007E0698">
              <w:rPr>
                <w:sz w:val="22"/>
                <w:szCs w:val="22"/>
              </w:rPr>
              <w:t>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Подлокотники </w:t>
            </w:r>
            <w:r w:rsidR="009376C5" w:rsidRPr="007E0698">
              <w:rPr>
                <w:sz w:val="22"/>
                <w:szCs w:val="22"/>
              </w:rPr>
              <w:t xml:space="preserve">должны регулироваться по высоте. </w:t>
            </w:r>
            <w:r w:rsidRPr="007E0698">
              <w:rPr>
                <w:sz w:val="22"/>
                <w:szCs w:val="22"/>
              </w:rPr>
              <w:t xml:space="preserve">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E0698">
                <w:rPr>
                  <w:sz w:val="22"/>
                  <w:szCs w:val="22"/>
                </w:rPr>
                <w:t>30 см.</w:t>
              </w:r>
            </w:smartTag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  <w:u w:val="single"/>
              </w:rPr>
            </w:pPr>
            <w:r w:rsidRPr="007E0698">
              <w:rPr>
                <w:sz w:val="22"/>
                <w:szCs w:val="22"/>
              </w:rPr>
              <w:t xml:space="preserve">Подножки должны быть легко демонтированы или просто </w:t>
            </w:r>
            <w:r w:rsidRPr="007E0698">
              <w:rPr>
                <w:sz w:val="22"/>
                <w:szCs w:val="22"/>
              </w:rPr>
              <w:lastRenderedPageBreak/>
              <w:t>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-  изменение угла наклона сиденья от минус 5 до 15 градусов;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E0698">
                <w:rPr>
                  <w:sz w:val="22"/>
                  <w:szCs w:val="22"/>
                </w:rPr>
                <w:t>8 см</w:t>
              </w:r>
            </w:smartTag>
            <w:r w:rsidRPr="007E0698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E0698">
                <w:rPr>
                  <w:sz w:val="22"/>
                  <w:szCs w:val="22"/>
                </w:rPr>
                <w:t>125 кг</w:t>
              </w:r>
            </w:smartTag>
            <w:r w:rsidRPr="007E0698">
              <w:rPr>
                <w:sz w:val="22"/>
                <w:szCs w:val="22"/>
              </w:rPr>
              <w:t xml:space="preserve"> включительно.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proofErr w:type="gramStart"/>
            <w:r w:rsidRPr="007E0698">
              <w:rPr>
                <w:sz w:val="22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E0698">
                <w:rPr>
                  <w:sz w:val="22"/>
                  <w:szCs w:val="22"/>
                </w:rPr>
                <w:t>38 см  +/- 1 см</w:t>
              </w:r>
            </w:smartTag>
            <w:r w:rsidRPr="007E0698">
              <w:rPr>
                <w:sz w:val="22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E0698">
                <w:rPr>
                  <w:sz w:val="22"/>
                  <w:szCs w:val="22"/>
                </w:rPr>
                <w:t>43 см +/- 1 см</w:t>
              </w:r>
            </w:smartTag>
            <w:r w:rsidRPr="007E0698">
              <w:rPr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E0698">
                <w:rPr>
                  <w:sz w:val="22"/>
                  <w:szCs w:val="22"/>
                </w:rPr>
                <w:t>48 см +/- 1 см</w:t>
              </w:r>
            </w:smartTag>
            <w:r w:rsidRPr="007E0698">
              <w:rPr>
                <w:sz w:val="22"/>
                <w:szCs w:val="22"/>
              </w:rPr>
              <w:t>, 50 см +/- 1 см и поставляться в 6 типоразмерах.</w:t>
            </w:r>
            <w:proofErr w:type="gramEnd"/>
          </w:p>
          <w:p w:rsidR="001019DD" w:rsidRPr="007E0698" w:rsidRDefault="001019DD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07A1D" w:rsidRPr="007E0698" w:rsidRDefault="00107A1D" w:rsidP="00107A1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Маркировка кресло-коляски должна содержать:</w:t>
            </w:r>
          </w:p>
          <w:p w:rsidR="001019DD" w:rsidRPr="007E0698" w:rsidRDefault="001019DD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1019DD" w:rsidRPr="007E0698" w:rsidRDefault="001019DD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- адрес производителя; </w:t>
            </w:r>
          </w:p>
          <w:p w:rsidR="001019DD" w:rsidRPr="007E0698" w:rsidRDefault="001019DD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9376C5" w:rsidRPr="007E0698" w:rsidRDefault="009376C5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- дату выпуска (месяц, год);</w:t>
            </w:r>
          </w:p>
          <w:p w:rsidR="001019DD" w:rsidRPr="007E0698" w:rsidRDefault="001019DD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- артикул модификации кресла-коляски;</w:t>
            </w:r>
          </w:p>
          <w:p w:rsidR="001019DD" w:rsidRPr="007E0698" w:rsidRDefault="001019DD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- обозначение технических условий (номер);</w:t>
            </w:r>
          </w:p>
          <w:p w:rsidR="001019DD" w:rsidRPr="007E0698" w:rsidRDefault="001019DD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- номер декларации о соответствии;</w:t>
            </w:r>
          </w:p>
          <w:p w:rsidR="001019DD" w:rsidRPr="007E0698" w:rsidRDefault="001019DD" w:rsidP="001019DD">
            <w:pPr>
              <w:ind w:firstLine="426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- серийный номер.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В комплект поставки должно входить: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- набор инструментов;</w:t>
            </w:r>
          </w:p>
          <w:p w:rsidR="001019DD" w:rsidRPr="007E0698" w:rsidRDefault="001019DD" w:rsidP="001019DD">
            <w:pPr>
              <w:ind w:firstLine="442"/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E722F9" w:rsidRPr="007E0698" w:rsidRDefault="001019DD" w:rsidP="00F70C68">
            <w:pPr>
              <w:jc w:val="both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  <w:r w:rsidR="00E722F9" w:rsidRPr="00E722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7140" w:rsidRPr="007E0698" w:rsidRDefault="008D308F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277140" w:rsidRPr="007E0698" w:rsidRDefault="00451B60" w:rsidP="00CA5BE9">
            <w:pPr>
              <w:jc w:val="center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77140" w:rsidRPr="007E0698" w:rsidRDefault="00277140" w:rsidP="00CA5BE9">
            <w:pPr>
              <w:jc w:val="center"/>
              <w:rPr>
                <w:sz w:val="22"/>
                <w:szCs w:val="22"/>
              </w:rPr>
            </w:pPr>
          </w:p>
        </w:tc>
      </w:tr>
      <w:tr w:rsidR="008D308F" w:rsidRPr="007E0698" w:rsidTr="00F70C68">
        <w:trPr>
          <w:trHeight w:val="1266"/>
        </w:trPr>
        <w:tc>
          <w:tcPr>
            <w:tcW w:w="1277" w:type="dxa"/>
            <w:tcBorders>
              <w:top w:val="nil"/>
            </w:tcBorders>
          </w:tcPr>
          <w:p w:rsidR="008D308F" w:rsidRPr="007E0698" w:rsidRDefault="008D308F" w:rsidP="00051756">
            <w:pPr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lastRenderedPageBreak/>
              <w:t>Кресло-коляски с ручным приводом базовые прогулочные, в том числе для детей-инвалидов</w:t>
            </w:r>
          </w:p>
        </w:tc>
        <w:tc>
          <w:tcPr>
            <w:tcW w:w="6520" w:type="dxa"/>
          </w:tcPr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lastRenderedPageBreak/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22F9">
              <w:rPr>
                <w:sz w:val="22"/>
                <w:szCs w:val="22"/>
              </w:rPr>
              <w:t>ободами</w:t>
            </w:r>
            <w:proofErr w:type="spellEnd"/>
            <w:r w:rsidRPr="00E722F9">
              <w:rPr>
                <w:sz w:val="22"/>
                <w:szCs w:val="22"/>
              </w:rPr>
              <w:t xml:space="preserve"> и обручами.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-  изменение угла наклона сиденья от минус 5 до 15 градусов;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E722F9">
              <w:rPr>
                <w:sz w:val="22"/>
                <w:szCs w:val="22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Маркировка кресло-коляски должна содержать: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- адрес производителя; 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-обозначение типа (модели) кресла-коляски (в зависимости от модификации);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- дату выпуска (месяц, год);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- артикул модификации кресла-коляски;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- обозначение технических условий (номер);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- номер декларации о соответствии;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- серийный номер.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В комплект поставки должно входить: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lastRenderedPageBreak/>
              <w:t>- набор инструментов;</w:t>
            </w:r>
          </w:p>
          <w:p w:rsidR="008D308F" w:rsidRPr="00E722F9" w:rsidRDefault="008D308F" w:rsidP="008D30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8D308F" w:rsidRPr="007E0698" w:rsidRDefault="008D308F" w:rsidP="00F70C68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722F9">
              <w:rPr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851" w:type="dxa"/>
            <w:vAlign w:val="center"/>
          </w:tcPr>
          <w:p w:rsidR="008D308F" w:rsidRDefault="008D308F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8D308F" w:rsidRPr="007E0698" w:rsidRDefault="008D308F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D308F" w:rsidRPr="007E0698" w:rsidRDefault="008D308F" w:rsidP="00CA5BE9">
            <w:pPr>
              <w:jc w:val="center"/>
              <w:rPr>
                <w:sz w:val="22"/>
                <w:szCs w:val="22"/>
              </w:rPr>
            </w:pPr>
          </w:p>
        </w:tc>
      </w:tr>
      <w:tr w:rsidR="00315A71" w:rsidRPr="007E0698" w:rsidTr="009D31DC">
        <w:trPr>
          <w:trHeight w:val="70"/>
        </w:trPr>
        <w:tc>
          <w:tcPr>
            <w:tcW w:w="7797" w:type="dxa"/>
            <w:gridSpan w:val="2"/>
          </w:tcPr>
          <w:p w:rsidR="00315A71" w:rsidRPr="007E0698" w:rsidRDefault="00315A71" w:rsidP="00315A71">
            <w:pPr>
              <w:pStyle w:val="2"/>
              <w:spacing w:after="0" w:line="240" w:lineRule="auto"/>
              <w:jc w:val="right"/>
              <w:rPr>
                <w:sz w:val="22"/>
                <w:szCs w:val="22"/>
              </w:rPr>
            </w:pPr>
            <w:r w:rsidRPr="007E0698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315A71" w:rsidRPr="007E0698" w:rsidRDefault="008D308F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315A71" w:rsidRPr="007E0698" w:rsidRDefault="00315A71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5A71" w:rsidRPr="007E0698" w:rsidRDefault="00315A71" w:rsidP="00CA5B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0C46" w:rsidRPr="00E00C46" w:rsidRDefault="00E00C46" w:rsidP="00533176">
      <w:pPr>
        <w:widowControl w:val="0"/>
        <w:tabs>
          <w:tab w:val="left" w:pos="540"/>
        </w:tabs>
        <w:autoSpaceDN w:val="0"/>
        <w:jc w:val="both"/>
        <w:textAlignment w:val="baseline"/>
        <w:rPr>
          <w:b/>
          <w:bCs/>
          <w:kern w:val="3"/>
          <w:u w:val="single"/>
          <w:lang w:eastAsia="ru-RU"/>
        </w:rPr>
      </w:pPr>
      <w:r w:rsidRPr="00E00C46">
        <w:rPr>
          <w:b/>
          <w:bCs/>
          <w:kern w:val="3"/>
          <w:u w:val="single"/>
          <w:lang w:eastAsia="ru-RU"/>
        </w:rPr>
        <w:t>Общие требования к качеству Товара:</w:t>
      </w:r>
    </w:p>
    <w:p w:rsidR="00451B60" w:rsidRDefault="0089298F" w:rsidP="0089298F">
      <w:pPr>
        <w:suppressAutoHyphens w:val="0"/>
        <w:autoSpaceDE w:val="0"/>
        <w:autoSpaceDN w:val="0"/>
        <w:adjustRightInd w:val="0"/>
        <w:jc w:val="both"/>
      </w:pPr>
      <w:r>
        <w:t xml:space="preserve">             </w:t>
      </w:r>
      <w:r w:rsidR="006178B5" w:rsidRPr="004C616C">
        <w:t xml:space="preserve">Кресло-коляска должна соответствовать требованиям государственных стандартов ГОСТ Р 50444-92 </w:t>
      </w:r>
      <w:r>
        <w:t>«</w:t>
      </w:r>
      <w:r>
        <w:rPr>
          <w:kern w:val="0"/>
          <w:lang w:eastAsia="en-US"/>
        </w:rPr>
        <w:t>Приборы, аппараты и оборудование медицинские. Общие технические условия» р</w:t>
      </w:r>
      <w:r w:rsidR="006178B5" w:rsidRPr="004C616C">
        <w:t>азд</w:t>
      </w:r>
      <w:r>
        <w:t>ел</w:t>
      </w:r>
      <w:r w:rsidR="006178B5" w:rsidRPr="004C616C">
        <w:t xml:space="preserve"> 3</w:t>
      </w:r>
      <w:r>
        <w:t xml:space="preserve"> «Технические требования», раздел </w:t>
      </w:r>
      <w:r w:rsidR="006178B5" w:rsidRPr="004C616C">
        <w:t>4</w:t>
      </w:r>
      <w:r>
        <w:t xml:space="preserve"> «Требования безопасности»;</w:t>
      </w:r>
      <w:r w:rsidR="006178B5" w:rsidRPr="004C616C">
        <w:t xml:space="preserve"> ГОСТ Р ИСО 7176-8-2015</w:t>
      </w:r>
      <w:r w:rsidR="007403BD">
        <w:t xml:space="preserve"> «</w:t>
      </w:r>
      <w:r w:rsidR="007403BD" w:rsidRPr="007403BD">
        <w:t>Кресла-коляски. Часть 8. Требования и методы испытаний на статическую, ударную и усталостную прочность"</w:t>
      </w:r>
      <w:r w:rsidR="006178B5" w:rsidRPr="004C616C">
        <w:t>, ГОСТ Р 51083-2015</w:t>
      </w:r>
      <w:r w:rsidR="00670280">
        <w:t xml:space="preserve"> «</w:t>
      </w:r>
      <w:r w:rsidR="00670280" w:rsidRPr="00670280">
        <w:t>Кресла-коляски. Общие технические условия"</w:t>
      </w:r>
      <w:r w:rsidR="006178B5" w:rsidRPr="004C616C">
        <w:t>, ГОСТ Р ИСО 7176-16-2015</w:t>
      </w:r>
      <w:r w:rsidR="00670280">
        <w:t xml:space="preserve"> «</w:t>
      </w:r>
      <w:r w:rsidR="00670280" w:rsidRPr="00670280">
        <w:t>Кресла-коляски. Часть 16. Стойкость к возгоранию устройств поддержания положения тела"</w:t>
      </w:r>
      <w:r w:rsidR="006178B5">
        <w:t>.</w:t>
      </w:r>
      <w:r w:rsidR="006178B5" w:rsidRPr="004C616C">
        <w:t xml:space="preserve"> </w:t>
      </w:r>
    </w:p>
    <w:p w:rsidR="00E00C46" w:rsidRPr="00E00C46" w:rsidRDefault="00E00C46" w:rsidP="00533176">
      <w:pPr>
        <w:widowControl w:val="0"/>
        <w:autoSpaceDN w:val="0"/>
        <w:jc w:val="both"/>
        <w:textAlignment w:val="baseline"/>
        <w:rPr>
          <w:b/>
          <w:bCs/>
          <w:kern w:val="3"/>
          <w:u w:val="single"/>
          <w:lang w:eastAsia="ru-RU"/>
        </w:rPr>
      </w:pPr>
      <w:r w:rsidRPr="00E00C46">
        <w:rPr>
          <w:b/>
          <w:bCs/>
          <w:kern w:val="3"/>
          <w:u w:val="single"/>
          <w:lang w:eastAsia="ru-RU"/>
        </w:rPr>
        <w:t>Требования к безопасности кресел-колясок.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</w:t>
      </w:r>
      <w:r w:rsidR="008B17FB">
        <w:rPr>
          <w:kern w:val="3"/>
          <w:lang w:eastAsia="ru-RU"/>
        </w:rPr>
        <w:t xml:space="preserve"> обладать свойством самогашения. </w:t>
      </w:r>
      <w:r w:rsidRPr="00E00C46">
        <w:rPr>
          <w:kern w:val="3"/>
          <w:lang w:eastAsia="ru-RU"/>
        </w:rPr>
        <w:t>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Наружные поверхности кресла-коляски должны быть устойчивы к воздействию 1%-го раствора монохлорамина ХБ и растворов моющих средств, применяемых при дезинфекции.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E00C46" w:rsidRDefault="00E00C46" w:rsidP="00E00C46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212121"/>
          <w:kern w:val="3"/>
          <w:lang w:eastAsia="ru-RU"/>
        </w:rPr>
      </w:pPr>
      <w:r w:rsidRPr="00E00C46">
        <w:rPr>
          <w:color w:val="212121"/>
          <w:kern w:val="3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451B60" w:rsidRPr="00B71A5B" w:rsidRDefault="00451B60" w:rsidP="00451B60">
      <w:pPr>
        <w:rPr>
          <w:b/>
          <w:u w:val="single"/>
        </w:rPr>
      </w:pPr>
      <w:r w:rsidRPr="00B71A5B">
        <w:rPr>
          <w:b/>
          <w:u w:val="single"/>
        </w:rPr>
        <w:t>Гарантии на кресла-коляски:</w:t>
      </w:r>
    </w:p>
    <w:p w:rsidR="00451B60" w:rsidRDefault="00451B60" w:rsidP="00451B60">
      <w:pPr>
        <w:ind w:firstLine="708"/>
        <w:jc w:val="both"/>
      </w:pPr>
      <w:r>
        <w:t xml:space="preserve">Гарантийный срок </w:t>
      </w:r>
      <w:r w:rsidR="00AB56AF">
        <w:t>эксплуатации покрышек передних и задних колес составляет</w:t>
      </w:r>
      <w:r>
        <w:t xml:space="preserve"> 12 месяцев после подписания Акта сдачи — приемки Товара. В течение гарантийного срока Поставщик производит замену или ремонт Товара за счет собственных средств. Срок гарантийного ремонта не должен превышать 20 рабочих дней со дня обращения Получателя. </w:t>
      </w:r>
    </w:p>
    <w:p w:rsidR="00451B60" w:rsidRDefault="00451B60" w:rsidP="00451B60">
      <w:pPr>
        <w:ind w:firstLine="708"/>
        <w:jc w:val="both"/>
      </w:pPr>
      <w:r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451B60" w:rsidRDefault="00AB56AF" w:rsidP="00451B60">
      <w:pPr>
        <w:ind w:firstLine="708"/>
        <w:jc w:val="both"/>
      </w:pPr>
      <w:r>
        <w:t>Поставщик должен располагать сервисной службой, находящейся в Приморском крае.</w:t>
      </w:r>
    </w:p>
    <w:p w:rsidR="00451B60" w:rsidRDefault="00451B60" w:rsidP="00451B60">
      <w:pPr>
        <w:jc w:val="both"/>
      </w:pPr>
      <w:r>
        <w:t>Обеспечение возможности ремонта и технического обслуживания, устранения недостатков при обеспечении Получателей кресло-колясками осуществляется в соответствии с Федеральным законом от 07.02.1992 г. № 2300-1 «О защите прав потребителей».</w:t>
      </w:r>
    </w:p>
    <w:p w:rsidR="00B71A5B" w:rsidRDefault="00B71A5B" w:rsidP="00B71A5B">
      <w:pPr>
        <w:ind w:firstLine="708"/>
        <w:jc w:val="both"/>
      </w:pPr>
      <w:r w:rsidRPr="00451B60">
        <w:t>Товар</w:t>
      </w:r>
      <w:r>
        <w:t xml:space="preserve"> должен</w:t>
      </w:r>
      <w:r w:rsidRPr="00451B60">
        <w:t xml:space="preserve"> имеет установленный производителем срок службы, который со дня подписания Акта приема-передачи Товара Получателем имеет величину не менее срока пользования, утвержденного приказом Министерства труда и социальной защиты Российской Федерации </w:t>
      </w:r>
      <w:r w:rsidR="00121AB5" w:rsidRPr="006D1FA0">
        <w:rPr>
          <w:rFonts w:eastAsia="Lucida Sans Unicode"/>
          <w:lang w:eastAsia="ru-RU"/>
        </w:rPr>
        <w:t xml:space="preserve">от </w:t>
      </w:r>
      <w:r w:rsidR="00121AB5">
        <w:rPr>
          <w:rFonts w:eastAsia="Lucida Sans Unicode"/>
          <w:lang w:eastAsia="ru-RU"/>
        </w:rPr>
        <w:t>13</w:t>
      </w:r>
      <w:r w:rsidR="00121AB5" w:rsidRPr="006D1FA0">
        <w:rPr>
          <w:rFonts w:eastAsia="Lucida Sans Unicode"/>
          <w:lang w:eastAsia="ru-RU"/>
        </w:rPr>
        <w:t>.0</w:t>
      </w:r>
      <w:r w:rsidR="00121AB5">
        <w:rPr>
          <w:rFonts w:eastAsia="Lucida Sans Unicode"/>
          <w:lang w:eastAsia="ru-RU"/>
        </w:rPr>
        <w:t>2</w:t>
      </w:r>
      <w:r w:rsidR="00121AB5" w:rsidRPr="006D1FA0">
        <w:rPr>
          <w:rFonts w:eastAsia="Lucida Sans Unicode"/>
          <w:lang w:eastAsia="ru-RU"/>
        </w:rPr>
        <w:t>.201</w:t>
      </w:r>
      <w:r w:rsidR="00121AB5">
        <w:rPr>
          <w:rFonts w:eastAsia="Lucida Sans Unicode"/>
          <w:lang w:eastAsia="ru-RU"/>
        </w:rPr>
        <w:t>8</w:t>
      </w:r>
      <w:r w:rsidR="00121AB5" w:rsidRPr="006D1FA0">
        <w:rPr>
          <w:rFonts w:eastAsia="Lucida Sans Unicode"/>
          <w:lang w:eastAsia="ru-RU"/>
        </w:rPr>
        <w:t xml:space="preserve"> N </w:t>
      </w:r>
      <w:r w:rsidR="00121AB5">
        <w:rPr>
          <w:rFonts w:eastAsia="Lucida Sans Unicode"/>
          <w:lang w:eastAsia="ru-RU"/>
        </w:rPr>
        <w:t>8</w:t>
      </w:r>
      <w:r w:rsidR="00121AB5" w:rsidRPr="006D1FA0">
        <w:rPr>
          <w:rFonts w:eastAsia="Lucida Sans Unicode"/>
          <w:lang w:eastAsia="ru-RU"/>
        </w:rPr>
        <w:t xml:space="preserve">5н </w:t>
      </w:r>
      <w:r w:rsidRPr="00451B60"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51B60" w:rsidRDefault="00451B60" w:rsidP="0022175E">
      <w:pPr>
        <w:jc w:val="both"/>
        <w:rPr>
          <w:b/>
          <w:u w:val="single"/>
        </w:rPr>
      </w:pPr>
      <w:r w:rsidRPr="00B96368">
        <w:rPr>
          <w:b/>
          <w:u w:val="single"/>
        </w:rPr>
        <w:t xml:space="preserve">Требования к месту, условиям, объемам и </w:t>
      </w:r>
      <w:r w:rsidR="00B96368" w:rsidRPr="00B96368">
        <w:rPr>
          <w:b/>
          <w:u w:val="single"/>
        </w:rPr>
        <w:t>срокам поставки</w:t>
      </w:r>
      <w:r w:rsidRPr="00B96368">
        <w:rPr>
          <w:b/>
          <w:u w:val="single"/>
        </w:rPr>
        <w:t>:</w:t>
      </w:r>
    </w:p>
    <w:p w:rsidR="009A3BA7" w:rsidRDefault="009A3BA7" w:rsidP="009A3BA7">
      <w:pPr>
        <w:jc w:val="both"/>
      </w:pPr>
      <w:r>
        <w:t>- организовать стационарные пункты выдачи изделий Получателям, которые должны быть (удобные, отапливаемые, иметь наличие туалета и места ожидания);</w:t>
      </w:r>
    </w:p>
    <w:p w:rsidR="00CD5D0D" w:rsidRDefault="00CD5D0D" w:rsidP="00CD5D0D">
      <w:pPr>
        <w:jc w:val="both"/>
      </w:pPr>
      <w:r>
        <w:t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который должен быть установлен с 09.00 до 20.00;</w:t>
      </w:r>
      <w:r w:rsidRPr="00CD5D0D">
        <w:t xml:space="preserve"> </w:t>
      </w:r>
    </w:p>
    <w:p w:rsidR="00CD5D0D" w:rsidRDefault="00CD5D0D" w:rsidP="009A3BA7">
      <w:pPr>
        <w:jc w:val="both"/>
      </w:pPr>
      <w:r>
        <w:t>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CD5D0D" w:rsidRPr="009A3BA7" w:rsidRDefault="00CD5D0D" w:rsidP="009A3BA7">
      <w:pPr>
        <w:jc w:val="both"/>
      </w:pPr>
      <w:r>
        <w:lastRenderedPageBreak/>
        <w:t>- 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451B60" w:rsidRDefault="00451B60" w:rsidP="00451B60">
      <w:pPr>
        <w:jc w:val="both"/>
      </w:pPr>
      <w: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451B60" w:rsidRDefault="00451B60" w:rsidP="00451B60">
      <w:pPr>
        <w:jc w:val="both"/>
      </w:pPr>
      <w: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451B60" w:rsidRDefault="00451B60" w:rsidP="00451B60">
      <w:pPr>
        <w:jc w:val="both"/>
      </w:pPr>
      <w: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451B60" w:rsidRDefault="00451B60" w:rsidP="00451B60">
      <w:pPr>
        <w:jc w:val="both"/>
      </w:pPr>
      <w: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451B60" w:rsidRDefault="00451B60" w:rsidP="00451B60">
      <w:pPr>
        <w:jc w:val="both"/>
      </w:pPr>
      <w: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451B60" w:rsidRDefault="00451B60" w:rsidP="00451B60">
      <w:pPr>
        <w:jc w:val="both"/>
      </w:pPr>
      <w:r>
        <w:t>- после подписания Государственного контракта, в течении 10 дней предоставить Заказчику график поставки инвалидам технических средств реабилитации;</w:t>
      </w:r>
    </w:p>
    <w:p w:rsidR="00451B60" w:rsidRDefault="00451B60" w:rsidP="00451B60">
      <w:pPr>
        <w:jc w:val="both"/>
      </w:pPr>
      <w: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451B60" w:rsidRDefault="00451B60" w:rsidP="00451B60">
      <w:pPr>
        <w:jc w:val="both"/>
      </w:pPr>
      <w:r>
        <w:t>- информирование инвалидов о дате, времени и месте поставки.</w:t>
      </w:r>
    </w:p>
    <w:p w:rsidR="00451B60" w:rsidRDefault="00934D57" w:rsidP="00451B60">
      <w:pPr>
        <w:jc w:val="both"/>
      </w:pPr>
      <w:r>
        <w:t>- при приеме-передаче товара осуществление по согласованию с получателем его распаковку, сборку, определение соответствие товара антропометрическим показателям получателя.</w:t>
      </w:r>
    </w:p>
    <w:p w:rsidR="00A6114B" w:rsidRDefault="00A6114B" w:rsidP="0022175E">
      <w:pPr>
        <w:jc w:val="both"/>
      </w:pPr>
      <w:proofErr w:type="spellStart"/>
      <w:r w:rsidRPr="00B96368">
        <w:rPr>
          <w:rFonts w:eastAsia="Andale Sans UI"/>
          <w:b/>
          <w:u w:val="single"/>
          <w:lang w:val="de-DE" w:eastAsia="ja-JP" w:bidi="fa-IR"/>
        </w:rPr>
        <w:t>Место</w:t>
      </w:r>
      <w:proofErr w:type="spellEnd"/>
      <w:r w:rsidRPr="00B96368">
        <w:rPr>
          <w:rFonts w:eastAsia="Andale Sans UI"/>
          <w:b/>
          <w:u w:val="single"/>
          <w:lang w:val="de-DE" w:eastAsia="ja-JP" w:bidi="fa-IR"/>
        </w:rPr>
        <w:t xml:space="preserve">  </w:t>
      </w:r>
      <w:proofErr w:type="spellStart"/>
      <w:r w:rsidRPr="00B96368">
        <w:rPr>
          <w:rFonts w:eastAsia="Andale Sans UI"/>
          <w:b/>
          <w:u w:val="single"/>
          <w:lang w:val="de-DE" w:eastAsia="ja-JP" w:bidi="fa-IR"/>
        </w:rPr>
        <w:t>поставки</w:t>
      </w:r>
      <w:proofErr w:type="spellEnd"/>
      <w:r w:rsidRPr="00B96368">
        <w:rPr>
          <w:rFonts w:eastAsia="Andale Sans UI"/>
          <w:b/>
          <w:u w:val="single"/>
          <w:lang w:val="de-DE" w:eastAsia="ja-JP" w:bidi="fa-IR"/>
        </w:rPr>
        <w:t xml:space="preserve"> </w:t>
      </w:r>
      <w:proofErr w:type="spellStart"/>
      <w:r w:rsidRPr="00B96368">
        <w:rPr>
          <w:rFonts w:eastAsia="Andale Sans UI"/>
          <w:b/>
          <w:u w:val="single"/>
          <w:lang w:val="de-DE" w:eastAsia="ja-JP" w:bidi="fa-IR"/>
        </w:rPr>
        <w:t>товара</w:t>
      </w:r>
      <w:proofErr w:type="spellEnd"/>
      <w:r w:rsidRPr="00B96368">
        <w:rPr>
          <w:rFonts w:eastAsia="Andale Sans UI"/>
          <w:u w:val="single"/>
          <w:lang w:val="de-DE" w:eastAsia="ja-JP" w:bidi="fa-IR"/>
        </w:rPr>
        <w:t>:</w:t>
      </w:r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месту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нахождения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Поставщика</w:t>
      </w:r>
      <w:proofErr w:type="spellEnd"/>
      <w:r>
        <w:rPr>
          <w:rFonts w:eastAsia="Andale Sans UI"/>
          <w:lang w:eastAsia="ja-JP" w:bidi="fa-IR"/>
        </w:rPr>
        <w:t>, либо</w:t>
      </w:r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месту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жительства</w:t>
      </w:r>
      <w:proofErr w:type="spellEnd"/>
      <w:r>
        <w:rPr>
          <w:rFonts w:eastAsia="Andale Sans UI"/>
          <w:lang w:val="de-DE" w:eastAsia="ja-JP" w:bidi="fa-IR"/>
        </w:rPr>
        <w:t xml:space="preserve">  (</w:t>
      </w:r>
      <w:proofErr w:type="spellStart"/>
      <w:r>
        <w:rPr>
          <w:rFonts w:eastAsia="Andale Sans UI"/>
          <w:lang w:val="de-DE" w:eastAsia="ja-JP" w:bidi="fa-IR"/>
        </w:rPr>
        <w:t>Получателя</w:t>
      </w:r>
      <w:proofErr w:type="spellEnd"/>
      <w:r>
        <w:rPr>
          <w:rFonts w:eastAsia="Andale Sans UI"/>
          <w:lang w:val="de-DE" w:eastAsia="ja-JP" w:bidi="fa-IR"/>
        </w:rPr>
        <w:t xml:space="preserve">) </w:t>
      </w:r>
      <w:proofErr w:type="spellStart"/>
      <w:r>
        <w:rPr>
          <w:rFonts w:eastAsia="Andale Sans UI"/>
          <w:lang w:val="de-DE" w:eastAsia="ja-JP" w:bidi="fa-IR"/>
        </w:rPr>
        <w:t>инвалида</w:t>
      </w:r>
      <w:proofErr w:type="spellEnd"/>
      <w:r>
        <w:rPr>
          <w:rFonts w:eastAsia="Andale Sans UI"/>
          <w:lang w:eastAsia="ja-JP" w:bidi="fa-IR"/>
        </w:rPr>
        <w:t>:</w:t>
      </w:r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Приморский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край</w:t>
      </w:r>
      <w:proofErr w:type="spellEnd"/>
      <w:r>
        <w:rPr>
          <w:rFonts w:eastAsia="Andale Sans UI"/>
          <w:lang w:val="de-DE" w:eastAsia="ja-JP" w:bidi="fa-IR"/>
        </w:rPr>
        <w:t xml:space="preserve"> (г. </w:t>
      </w:r>
      <w:proofErr w:type="spellStart"/>
      <w:r>
        <w:rPr>
          <w:rFonts w:eastAsia="Andale Sans UI"/>
          <w:lang w:val="de-DE" w:eastAsia="ja-JP" w:bidi="fa-IR"/>
        </w:rPr>
        <w:t>Уссурийск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Уссурийский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Хорольский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Михайловский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Октябрьский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Пограничный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Ханкайский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Дальнереченск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Лесозаводск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Черниговский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Спасск-Дальний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пгт</w:t>
      </w:r>
      <w:proofErr w:type="spellEnd"/>
      <w:r>
        <w:rPr>
          <w:rFonts w:eastAsia="Andale Sans UI"/>
          <w:lang w:val="de-DE" w:eastAsia="ja-JP" w:bidi="fa-IR"/>
        </w:rPr>
        <w:t xml:space="preserve">. </w:t>
      </w:r>
      <w:proofErr w:type="spellStart"/>
      <w:r>
        <w:rPr>
          <w:rFonts w:eastAsia="Andale Sans UI"/>
          <w:lang w:val="de-DE" w:eastAsia="ja-JP" w:bidi="fa-IR"/>
        </w:rPr>
        <w:t>Лучегорск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Красноармейский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Пожарский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Кировский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Владивосток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Артем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Большой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Камень</w:t>
      </w:r>
      <w:proofErr w:type="spellEnd"/>
      <w:r>
        <w:rPr>
          <w:rFonts w:eastAsia="Andale Sans UI"/>
          <w:lang w:val="de-DE" w:eastAsia="ja-JP" w:bidi="fa-IR"/>
        </w:rPr>
        <w:t xml:space="preserve">, п. </w:t>
      </w:r>
      <w:proofErr w:type="spellStart"/>
      <w:r>
        <w:rPr>
          <w:rFonts w:eastAsia="Andale Sans UI"/>
          <w:lang w:val="de-DE" w:eastAsia="ja-JP" w:bidi="fa-IR"/>
        </w:rPr>
        <w:t>Славянка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Хасанский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Надеждинский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Фокино</w:t>
      </w:r>
      <w:proofErr w:type="spellEnd"/>
      <w:r>
        <w:rPr>
          <w:rFonts w:eastAsia="Andale Sans UI"/>
          <w:lang w:val="de-DE" w:eastAsia="ja-JP" w:bidi="fa-IR"/>
        </w:rPr>
        <w:t xml:space="preserve">,  </w:t>
      </w:r>
      <w:proofErr w:type="spellStart"/>
      <w:r>
        <w:rPr>
          <w:rFonts w:eastAsia="Andale Sans UI"/>
          <w:lang w:val="de-DE" w:eastAsia="ja-JP" w:bidi="fa-IR"/>
        </w:rPr>
        <w:t>Находка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Партизанск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Партизанский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Лазовский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Дальнегорск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Арсеньев</w:t>
      </w:r>
      <w:proofErr w:type="spellEnd"/>
      <w:r>
        <w:rPr>
          <w:rFonts w:eastAsia="Andale Sans UI"/>
          <w:lang w:val="de-DE" w:eastAsia="ja-JP" w:bidi="fa-IR"/>
        </w:rPr>
        <w:t xml:space="preserve">, п. </w:t>
      </w:r>
      <w:proofErr w:type="spellStart"/>
      <w:r>
        <w:rPr>
          <w:rFonts w:eastAsia="Andale Sans UI"/>
          <w:lang w:val="de-DE" w:eastAsia="ja-JP" w:bidi="fa-IR"/>
        </w:rPr>
        <w:t>Кавалерово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Тернейский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Анучинский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Ольгинский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>)</w:t>
      </w:r>
    </w:p>
    <w:p w:rsidR="00E00C46" w:rsidRDefault="00E00C46" w:rsidP="0022175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="002C3F40" w:rsidRPr="00B9636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="002C3F40">
        <w:rPr>
          <w:rFonts w:eastAsia="Andale Sans UI" w:cs="Tahoma"/>
          <w:b/>
          <w:bCs/>
          <w:kern w:val="3"/>
          <w:lang w:eastAsia="ja-JP" w:bidi="fa-IR"/>
        </w:rPr>
        <w:t>:</w:t>
      </w:r>
      <w:r w:rsidR="002646EB">
        <w:rPr>
          <w:rFonts w:eastAsia="Andale Sans UI" w:cs="Tahoma"/>
          <w:b/>
          <w:bCs/>
          <w:kern w:val="3"/>
          <w:lang w:eastAsia="ja-JP" w:bidi="fa-IR"/>
        </w:rPr>
        <w:t xml:space="preserve"> </w:t>
      </w:r>
      <w:proofErr w:type="spellStart"/>
      <w:r w:rsidRPr="00643428">
        <w:rPr>
          <w:rFonts w:eastAsia="Andale Sans UI" w:cs="Tahoma"/>
          <w:kern w:val="3"/>
          <w:lang w:val="de-DE" w:eastAsia="ja-JP" w:bidi="fa-IR"/>
        </w:rPr>
        <w:t>Получателям</w:t>
      </w:r>
      <w:proofErr w:type="spellEnd"/>
      <w:r w:rsidRPr="00643428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643428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="002C3F40" w:rsidRPr="0064342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643428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="002C3F40" w:rsidRPr="0064342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643428"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 w:rsidR="002C3F40" w:rsidRPr="00643428">
        <w:rPr>
          <w:rFonts w:eastAsia="Andale Sans UI" w:cs="Tahoma"/>
          <w:kern w:val="3"/>
          <w:lang w:eastAsia="ja-JP" w:bidi="fa-IR"/>
        </w:rPr>
        <w:t xml:space="preserve"> </w:t>
      </w:r>
      <w:r w:rsidR="00A84E5A" w:rsidRPr="00643428">
        <w:rPr>
          <w:rFonts w:eastAsia="Andale Sans UI" w:cs="Tahoma"/>
          <w:kern w:val="3"/>
          <w:lang w:eastAsia="ja-JP" w:bidi="fa-IR"/>
        </w:rPr>
        <w:t xml:space="preserve">до </w:t>
      </w:r>
      <w:r w:rsidR="00B21643">
        <w:rPr>
          <w:rFonts w:eastAsia="Andale Sans UI" w:cs="Tahoma"/>
          <w:kern w:val="3"/>
          <w:lang w:eastAsia="ja-JP" w:bidi="fa-IR"/>
        </w:rPr>
        <w:t>0</w:t>
      </w:r>
      <w:r w:rsidR="002646EB">
        <w:rPr>
          <w:rFonts w:eastAsia="Andale Sans UI" w:cs="Tahoma"/>
          <w:kern w:val="3"/>
          <w:lang w:eastAsia="ja-JP" w:bidi="fa-IR"/>
        </w:rPr>
        <w:t>5</w:t>
      </w:r>
      <w:r w:rsidR="00A84E5A" w:rsidRPr="00643428">
        <w:rPr>
          <w:rFonts w:eastAsia="Andale Sans UI" w:cs="Tahoma"/>
          <w:kern w:val="3"/>
          <w:lang w:eastAsia="ja-JP" w:bidi="fa-IR"/>
        </w:rPr>
        <w:t xml:space="preserve"> </w:t>
      </w:r>
      <w:r w:rsidR="002646EB">
        <w:rPr>
          <w:rFonts w:eastAsia="Andale Sans UI" w:cs="Tahoma"/>
          <w:kern w:val="3"/>
          <w:lang w:eastAsia="ja-JP" w:bidi="fa-IR"/>
        </w:rPr>
        <w:t>декабря</w:t>
      </w:r>
      <w:r w:rsidR="00643428">
        <w:rPr>
          <w:rFonts w:eastAsia="Andale Sans UI" w:cs="Tahoma"/>
          <w:kern w:val="3"/>
          <w:lang w:eastAsia="ja-JP" w:bidi="fa-IR"/>
        </w:rPr>
        <w:t xml:space="preserve"> </w:t>
      </w:r>
      <w:r w:rsidR="004048CB">
        <w:rPr>
          <w:rFonts w:eastAsia="Andale Sans UI" w:cs="Tahoma"/>
          <w:kern w:val="3"/>
          <w:lang w:eastAsia="ja-JP" w:bidi="fa-IR"/>
        </w:rPr>
        <w:t>201</w:t>
      </w:r>
      <w:r w:rsidR="00B21643">
        <w:rPr>
          <w:rFonts w:eastAsia="Andale Sans UI" w:cs="Tahoma"/>
          <w:kern w:val="3"/>
          <w:lang w:eastAsia="ja-JP" w:bidi="fa-IR"/>
        </w:rPr>
        <w:t>9</w:t>
      </w:r>
      <w:r w:rsidR="004048CB">
        <w:rPr>
          <w:rFonts w:eastAsia="Andale Sans UI" w:cs="Tahoma"/>
          <w:kern w:val="3"/>
          <w:lang w:eastAsia="ja-JP" w:bidi="fa-IR"/>
        </w:rPr>
        <w:t xml:space="preserve"> г. </w:t>
      </w:r>
      <w:r w:rsidR="00643428">
        <w:rPr>
          <w:rFonts w:eastAsia="Andale Sans UI" w:cs="Tahoma"/>
          <w:kern w:val="3"/>
          <w:lang w:eastAsia="ja-JP" w:bidi="fa-IR"/>
        </w:rPr>
        <w:t>должно быть поставлено</w:t>
      </w:r>
      <w:r w:rsidR="00A84E5A" w:rsidRPr="00643428">
        <w:rPr>
          <w:rFonts w:eastAsia="Andale Sans UI" w:cs="Tahoma"/>
          <w:kern w:val="3"/>
          <w:lang w:eastAsia="ja-JP" w:bidi="fa-IR"/>
        </w:rPr>
        <w:t xml:space="preserve"> –</w:t>
      </w:r>
      <w:r w:rsidR="002646EB">
        <w:rPr>
          <w:rFonts w:eastAsia="Andale Sans UI" w:cs="Tahoma"/>
          <w:kern w:val="3"/>
          <w:lang w:eastAsia="ja-JP" w:bidi="fa-IR"/>
        </w:rPr>
        <w:t xml:space="preserve"> </w:t>
      </w:r>
      <w:r w:rsidR="00B21643">
        <w:rPr>
          <w:rFonts w:eastAsia="Andale Sans UI" w:cs="Tahoma"/>
          <w:kern w:val="3"/>
          <w:lang w:eastAsia="ja-JP" w:bidi="fa-IR"/>
        </w:rPr>
        <w:t>100 % Товара.</w:t>
      </w:r>
    </w:p>
    <w:p w:rsidR="00E00C46" w:rsidRDefault="00E00C46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="002C3F40" w:rsidRPr="00B9636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доставки</w:t>
      </w:r>
      <w:proofErr w:type="spellEnd"/>
      <w:r w:rsidR="002C3F40" w:rsidRPr="00B9636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="00973623">
        <w:rPr>
          <w:rFonts w:eastAsia="Andale Sans UI" w:cs="Tahoma"/>
          <w:b/>
          <w:bCs/>
          <w:kern w:val="3"/>
          <w:lang w:eastAsia="ja-JP" w:bidi="fa-IR"/>
        </w:rPr>
        <w:t xml:space="preserve">: </w:t>
      </w:r>
      <w:proofErr w:type="spellStart"/>
      <w:r w:rsidRPr="00E00C46"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 w:rsidR="002C3F40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bCs/>
          <w:kern w:val="3"/>
          <w:lang w:val="de-DE" w:eastAsia="ja-JP" w:bidi="fa-IR"/>
        </w:rPr>
        <w:t>доставки</w:t>
      </w:r>
      <w:proofErr w:type="spellEnd"/>
      <w:r w:rsidR="002C3F40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 w:rsidR="002C3F40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до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 w:rsidRPr="00E00C46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началом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течения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срока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поставки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более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r w:rsidR="00A6114B">
        <w:rPr>
          <w:rFonts w:eastAsia="Andale Sans UI" w:cs="Tahoma"/>
          <w:kern w:val="3"/>
          <w:lang w:eastAsia="ja-JP" w:bidi="fa-IR"/>
        </w:rPr>
        <w:t>2</w:t>
      </w:r>
      <w:r w:rsidR="00114C12">
        <w:rPr>
          <w:rFonts w:eastAsia="Andale Sans UI" w:cs="Tahoma"/>
          <w:kern w:val="3"/>
          <w:lang w:eastAsia="ja-JP" w:bidi="fa-IR"/>
        </w:rPr>
        <w:t>0</w:t>
      </w:r>
      <w:r w:rsidRPr="00E00C4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дней</w:t>
      </w:r>
      <w:proofErr w:type="spellEnd"/>
      <w:r w:rsidRPr="00E00C46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получения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Заказчика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списка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 w:rsidRPr="00E00C46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084E31">
        <w:rPr>
          <w:rFonts w:eastAsia="Andale Sans UI" w:cs="Tahoma"/>
          <w:kern w:val="3"/>
          <w:lang w:val="de-DE" w:eastAsia="ja-JP" w:bidi="fa-IR"/>
        </w:rPr>
        <w:t>Акта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r w:rsidR="002514C5">
        <w:rPr>
          <w:rFonts w:eastAsia="Andale Sans UI" w:cs="Tahoma"/>
          <w:kern w:val="3"/>
          <w:lang w:eastAsia="ja-JP" w:bidi="fa-IR"/>
        </w:rPr>
        <w:t>вы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борочной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проверки</w:t>
      </w:r>
      <w:proofErr w:type="spellEnd"/>
      <w:r w:rsidRPr="00E00C46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пред</w:t>
      </w:r>
      <w:r w:rsidRPr="00E00C46">
        <w:rPr>
          <w:rFonts w:eastAsia="Andale Sans UI" w:cs="Tahoma"/>
          <w:kern w:val="3"/>
          <w:lang w:eastAsia="ja-JP" w:bidi="fa-IR"/>
        </w:rPr>
        <w:t>ъявление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Получателем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 w:rsidRPr="00E00C46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 w:rsidRPr="00E00C46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выдаваемого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 w:rsidR="00AB56AF">
        <w:rPr>
          <w:rFonts w:eastAsia="Andale Sans UI" w:cs="Tahoma"/>
          <w:kern w:val="3"/>
          <w:lang w:val="de-DE" w:eastAsia="ja-JP" w:bidi="fa-IR"/>
        </w:rPr>
        <w:t>.</w:t>
      </w:r>
      <w:r w:rsidRPr="00E00C46">
        <w:rPr>
          <w:rFonts w:eastAsia="Andale Sans UI" w:cs="Tahoma"/>
          <w:kern w:val="3"/>
          <w:lang w:val="de-DE" w:eastAsia="ja-JP" w:bidi="fa-IR"/>
        </w:rPr>
        <w:t xml:space="preserve"> </w:t>
      </w:r>
      <w:r w:rsidR="00E41A8F">
        <w:rPr>
          <w:rFonts w:eastAsia="Andale Sans UI" w:cs="Tahoma"/>
          <w:kern w:val="3"/>
          <w:lang w:eastAsia="ja-JP" w:bidi="fa-IR"/>
        </w:rPr>
        <w:t>При</w:t>
      </w:r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личного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 w:rsidRPr="00E00C46">
        <w:rPr>
          <w:rFonts w:eastAsia="Andale Sans UI" w:cs="Tahoma"/>
          <w:kern w:val="3"/>
          <w:lang w:val="de-DE" w:eastAsia="ja-JP" w:bidi="fa-IR"/>
        </w:rPr>
        <w:t xml:space="preserve"> к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Поставщику</w:t>
      </w:r>
      <w:proofErr w:type="spellEnd"/>
      <w:r w:rsidR="00E41A8F">
        <w:rPr>
          <w:rFonts w:eastAsia="Andale Sans UI" w:cs="Tahoma"/>
          <w:kern w:val="3"/>
          <w:lang w:eastAsia="ja-JP" w:bidi="fa-IR"/>
        </w:rPr>
        <w:t>,</w:t>
      </w:r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представлении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им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 w:rsidRPr="00E00C46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E00C46">
        <w:rPr>
          <w:rFonts w:eastAsia="Andale Sans UI" w:cs="Tahoma"/>
          <w:kern w:val="3"/>
          <w:lang w:val="de-DE" w:eastAsia="ja-JP" w:bidi="fa-IR"/>
        </w:rPr>
        <w:t>н</w:t>
      </w:r>
      <w:r w:rsidR="00E41A8F">
        <w:rPr>
          <w:rFonts w:eastAsia="Andale Sans UI" w:cs="Tahoma"/>
          <w:kern w:val="3"/>
          <w:lang w:val="de-DE" w:eastAsia="ja-JP" w:bidi="fa-IR"/>
        </w:rPr>
        <w:t>аправления</w:t>
      </w:r>
      <w:proofErr w:type="spellEnd"/>
      <w:r w:rsidR="00AB56A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выданного</w:t>
      </w:r>
      <w:proofErr w:type="spellEnd"/>
      <w:r w:rsidR="00AB56AF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 w:rsidR="00E41A8F">
        <w:rPr>
          <w:rFonts w:eastAsia="Andale Sans UI" w:cs="Tahoma"/>
          <w:kern w:val="3"/>
          <w:lang w:eastAsia="ja-JP" w:bidi="fa-IR"/>
        </w:rPr>
        <w:t>,</w:t>
      </w:r>
      <w:r w:rsidR="00AB56AF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день</w:t>
      </w:r>
      <w:proofErr w:type="spellEnd"/>
      <w:r w:rsidR="00AB56A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 w:rsidR="00AB56AF">
        <w:rPr>
          <w:rFonts w:eastAsia="Andale Sans UI" w:cs="Tahoma"/>
          <w:kern w:val="3"/>
          <w:lang w:val="de-DE" w:eastAsia="ja-JP" w:bidi="fa-IR"/>
        </w:rPr>
        <w:t>.</w:t>
      </w:r>
    </w:p>
    <w:p w:rsid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091272" w:rsidRP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rial"/>
          <w:kern w:val="3"/>
          <w:sz w:val="22"/>
          <w:szCs w:val="20"/>
          <w:lang w:eastAsia="ru-RU"/>
        </w:rPr>
      </w:pPr>
    </w:p>
    <w:p w:rsidR="00E00C46" w:rsidRPr="00E00C46" w:rsidRDefault="00E00C46" w:rsidP="00E00C46">
      <w:pPr>
        <w:keepNext/>
        <w:suppressAutoHyphens w:val="0"/>
        <w:autoSpaceDN w:val="0"/>
        <w:ind w:firstLine="720"/>
        <w:jc w:val="both"/>
        <w:textAlignment w:val="baseline"/>
        <w:rPr>
          <w:color w:val="000000"/>
          <w:kern w:val="3"/>
          <w:lang w:eastAsia="ru-RU"/>
        </w:rPr>
      </w:pPr>
    </w:p>
    <w:p w:rsidR="00F02323" w:rsidRDefault="00F02323" w:rsidP="00F02323">
      <w:pPr>
        <w:jc w:val="center"/>
      </w:pPr>
      <w:bookmarkStart w:id="0" w:name="_GoBack"/>
      <w:bookmarkEnd w:id="0"/>
    </w:p>
    <w:sectPr w:rsidR="00F02323" w:rsidSect="00372F43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706"/>
    <w:rsid w:val="00000466"/>
    <w:rsid w:val="0001354C"/>
    <w:rsid w:val="0001384E"/>
    <w:rsid w:val="00036C88"/>
    <w:rsid w:val="000371F5"/>
    <w:rsid w:val="00051756"/>
    <w:rsid w:val="00064224"/>
    <w:rsid w:val="00070583"/>
    <w:rsid w:val="00084E31"/>
    <w:rsid w:val="00091272"/>
    <w:rsid w:val="000978C6"/>
    <w:rsid w:val="000A51A3"/>
    <w:rsid w:val="000C3487"/>
    <w:rsid w:val="000D308B"/>
    <w:rsid w:val="000E1914"/>
    <w:rsid w:val="000F3E23"/>
    <w:rsid w:val="000F7814"/>
    <w:rsid w:val="001019DD"/>
    <w:rsid w:val="00107A1D"/>
    <w:rsid w:val="00114C12"/>
    <w:rsid w:val="0011564A"/>
    <w:rsid w:val="00120200"/>
    <w:rsid w:val="00121AB5"/>
    <w:rsid w:val="001270F0"/>
    <w:rsid w:val="00132801"/>
    <w:rsid w:val="00140D4E"/>
    <w:rsid w:val="001710A4"/>
    <w:rsid w:val="00177951"/>
    <w:rsid w:val="00194F7C"/>
    <w:rsid w:val="001B0BE5"/>
    <w:rsid w:val="001B52C7"/>
    <w:rsid w:val="001B7F47"/>
    <w:rsid w:val="001C1185"/>
    <w:rsid w:val="001C1D4D"/>
    <w:rsid w:val="001C2185"/>
    <w:rsid w:val="001D17BA"/>
    <w:rsid w:val="001D5F04"/>
    <w:rsid w:val="001E4B2B"/>
    <w:rsid w:val="001F19AD"/>
    <w:rsid w:val="00200EA1"/>
    <w:rsid w:val="00205F76"/>
    <w:rsid w:val="00210B24"/>
    <w:rsid w:val="0022175E"/>
    <w:rsid w:val="002223D0"/>
    <w:rsid w:val="00223FE3"/>
    <w:rsid w:val="00224022"/>
    <w:rsid w:val="002405B2"/>
    <w:rsid w:val="00242F2E"/>
    <w:rsid w:val="002514C5"/>
    <w:rsid w:val="002646EB"/>
    <w:rsid w:val="002700A3"/>
    <w:rsid w:val="002719CE"/>
    <w:rsid w:val="00277140"/>
    <w:rsid w:val="002775E4"/>
    <w:rsid w:val="00292805"/>
    <w:rsid w:val="002948D3"/>
    <w:rsid w:val="002A69F0"/>
    <w:rsid w:val="002B780D"/>
    <w:rsid w:val="002C3F40"/>
    <w:rsid w:val="002C69E0"/>
    <w:rsid w:val="002D43EA"/>
    <w:rsid w:val="002D6AF8"/>
    <w:rsid w:val="002E2A0E"/>
    <w:rsid w:val="002F05A3"/>
    <w:rsid w:val="002F4125"/>
    <w:rsid w:val="00304E4F"/>
    <w:rsid w:val="003144F1"/>
    <w:rsid w:val="00315A71"/>
    <w:rsid w:val="0031730E"/>
    <w:rsid w:val="00344C52"/>
    <w:rsid w:val="00346355"/>
    <w:rsid w:val="003569F0"/>
    <w:rsid w:val="00372F43"/>
    <w:rsid w:val="003776FA"/>
    <w:rsid w:val="00380388"/>
    <w:rsid w:val="003A6D26"/>
    <w:rsid w:val="003B7465"/>
    <w:rsid w:val="003C05A2"/>
    <w:rsid w:val="003C2895"/>
    <w:rsid w:val="003C2AF5"/>
    <w:rsid w:val="003D0DC0"/>
    <w:rsid w:val="003D2766"/>
    <w:rsid w:val="003D4479"/>
    <w:rsid w:val="003D57BA"/>
    <w:rsid w:val="003E0616"/>
    <w:rsid w:val="003E724E"/>
    <w:rsid w:val="004048CB"/>
    <w:rsid w:val="00410FCF"/>
    <w:rsid w:val="004134A6"/>
    <w:rsid w:val="00415352"/>
    <w:rsid w:val="00415CFF"/>
    <w:rsid w:val="00434B5A"/>
    <w:rsid w:val="00441061"/>
    <w:rsid w:val="00450D5D"/>
    <w:rsid w:val="00451B60"/>
    <w:rsid w:val="004564B2"/>
    <w:rsid w:val="00456720"/>
    <w:rsid w:val="00457F59"/>
    <w:rsid w:val="00467170"/>
    <w:rsid w:val="00474FD5"/>
    <w:rsid w:val="00484FBA"/>
    <w:rsid w:val="00491C79"/>
    <w:rsid w:val="00492129"/>
    <w:rsid w:val="00494DD7"/>
    <w:rsid w:val="004B5F37"/>
    <w:rsid w:val="004C3A24"/>
    <w:rsid w:val="004F4F56"/>
    <w:rsid w:val="00500562"/>
    <w:rsid w:val="005049BD"/>
    <w:rsid w:val="00504C63"/>
    <w:rsid w:val="00507A65"/>
    <w:rsid w:val="0052244B"/>
    <w:rsid w:val="00524110"/>
    <w:rsid w:val="005306C4"/>
    <w:rsid w:val="00533176"/>
    <w:rsid w:val="005454CE"/>
    <w:rsid w:val="005461DF"/>
    <w:rsid w:val="005832F2"/>
    <w:rsid w:val="005860FD"/>
    <w:rsid w:val="005947EE"/>
    <w:rsid w:val="005A2643"/>
    <w:rsid w:val="005A6656"/>
    <w:rsid w:val="005A7A31"/>
    <w:rsid w:val="005B3460"/>
    <w:rsid w:val="00601E99"/>
    <w:rsid w:val="00607790"/>
    <w:rsid w:val="00617635"/>
    <w:rsid w:val="006178B5"/>
    <w:rsid w:val="00625185"/>
    <w:rsid w:val="0062773C"/>
    <w:rsid w:val="00630686"/>
    <w:rsid w:val="0064334F"/>
    <w:rsid w:val="00643428"/>
    <w:rsid w:val="006568C9"/>
    <w:rsid w:val="0066462D"/>
    <w:rsid w:val="00666071"/>
    <w:rsid w:val="00670280"/>
    <w:rsid w:val="0067586A"/>
    <w:rsid w:val="006862D7"/>
    <w:rsid w:val="006939F3"/>
    <w:rsid w:val="00695F34"/>
    <w:rsid w:val="006A006C"/>
    <w:rsid w:val="006B182B"/>
    <w:rsid w:val="006C484A"/>
    <w:rsid w:val="006D489F"/>
    <w:rsid w:val="006E6F65"/>
    <w:rsid w:val="00714380"/>
    <w:rsid w:val="00721BE1"/>
    <w:rsid w:val="00730582"/>
    <w:rsid w:val="007403BD"/>
    <w:rsid w:val="0074593F"/>
    <w:rsid w:val="00753C48"/>
    <w:rsid w:val="00780862"/>
    <w:rsid w:val="00786C55"/>
    <w:rsid w:val="0078755F"/>
    <w:rsid w:val="007972B4"/>
    <w:rsid w:val="007A222E"/>
    <w:rsid w:val="007B3E0B"/>
    <w:rsid w:val="007E0698"/>
    <w:rsid w:val="007E0705"/>
    <w:rsid w:val="007E25E3"/>
    <w:rsid w:val="007E634B"/>
    <w:rsid w:val="007F1973"/>
    <w:rsid w:val="00800C49"/>
    <w:rsid w:val="00807959"/>
    <w:rsid w:val="008243AD"/>
    <w:rsid w:val="00836102"/>
    <w:rsid w:val="008406E9"/>
    <w:rsid w:val="00840DD7"/>
    <w:rsid w:val="00847015"/>
    <w:rsid w:val="00851328"/>
    <w:rsid w:val="008641A2"/>
    <w:rsid w:val="00864F38"/>
    <w:rsid w:val="00881D60"/>
    <w:rsid w:val="0088353A"/>
    <w:rsid w:val="00890121"/>
    <w:rsid w:val="0089298F"/>
    <w:rsid w:val="00893452"/>
    <w:rsid w:val="00896030"/>
    <w:rsid w:val="008B17FB"/>
    <w:rsid w:val="008C24E0"/>
    <w:rsid w:val="008C45E9"/>
    <w:rsid w:val="008D1FB5"/>
    <w:rsid w:val="008D308F"/>
    <w:rsid w:val="008D7BA7"/>
    <w:rsid w:val="008F744C"/>
    <w:rsid w:val="00902DFF"/>
    <w:rsid w:val="009104E7"/>
    <w:rsid w:val="00911B79"/>
    <w:rsid w:val="00916271"/>
    <w:rsid w:val="009323DD"/>
    <w:rsid w:val="00934D57"/>
    <w:rsid w:val="009376C5"/>
    <w:rsid w:val="009705AC"/>
    <w:rsid w:val="009722E0"/>
    <w:rsid w:val="00973623"/>
    <w:rsid w:val="009803C8"/>
    <w:rsid w:val="00983F7C"/>
    <w:rsid w:val="00986807"/>
    <w:rsid w:val="00992A1A"/>
    <w:rsid w:val="009A3BA7"/>
    <w:rsid w:val="009A53A2"/>
    <w:rsid w:val="009B2444"/>
    <w:rsid w:val="009B59E9"/>
    <w:rsid w:val="009D31DC"/>
    <w:rsid w:val="009D5482"/>
    <w:rsid w:val="009E4F02"/>
    <w:rsid w:val="00A0568C"/>
    <w:rsid w:val="00A1105F"/>
    <w:rsid w:val="00A1744E"/>
    <w:rsid w:val="00A2368F"/>
    <w:rsid w:val="00A24085"/>
    <w:rsid w:val="00A40A9F"/>
    <w:rsid w:val="00A569AF"/>
    <w:rsid w:val="00A6114B"/>
    <w:rsid w:val="00A65700"/>
    <w:rsid w:val="00A71649"/>
    <w:rsid w:val="00A73CEA"/>
    <w:rsid w:val="00A80783"/>
    <w:rsid w:val="00A84E5A"/>
    <w:rsid w:val="00AA0391"/>
    <w:rsid w:val="00AB01F9"/>
    <w:rsid w:val="00AB0B26"/>
    <w:rsid w:val="00AB2706"/>
    <w:rsid w:val="00AB56AF"/>
    <w:rsid w:val="00AD654F"/>
    <w:rsid w:val="00B004A5"/>
    <w:rsid w:val="00B04EF4"/>
    <w:rsid w:val="00B121A7"/>
    <w:rsid w:val="00B1496A"/>
    <w:rsid w:val="00B21643"/>
    <w:rsid w:val="00B34529"/>
    <w:rsid w:val="00B43B0A"/>
    <w:rsid w:val="00B61752"/>
    <w:rsid w:val="00B61FE2"/>
    <w:rsid w:val="00B63B6A"/>
    <w:rsid w:val="00B71A5B"/>
    <w:rsid w:val="00B74ED2"/>
    <w:rsid w:val="00B809AF"/>
    <w:rsid w:val="00B91F07"/>
    <w:rsid w:val="00B92856"/>
    <w:rsid w:val="00B96368"/>
    <w:rsid w:val="00BA324A"/>
    <w:rsid w:val="00BD2C11"/>
    <w:rsid w:val="00BD63E2"/>
    <w:rsid w:val="00BE201C"/>
    <w:rsid w:val="00C16658"/>
    <w:rsid w:val="00C44F72"/>
    <w:rsid w:val="00C50C74"/>
    <w:rsid w:val="00C52BA3"/>
    <w:rsid w:val="00C726B5"/>
    <w:rsid w:val="00C8137E"/>
    <w:rsid w:val="00C83B14"/>
    <w:rsid w:val="00CA5BE9"/>
    <w:rsid w:val="00CC601E"/>
    <w:rsid w:val="00CD51C4"/>
    <w:rsid w:val="00CD5D0D"/>
    <w:rsid w:val="00CD5FC0"/>
    <w:rsid w:val="00CD7F96"/>
    <w:rsid w:val="00D02A57"/>
    <w:rsid w:val="00D40C3B"/>
    <w:rsid w:val="00D611BC"/>
    <w:rsid w:val="00D61BD5"/>
    <w:rsid w:val="00D65401"/>
    <w:rsid w:val="00D76398"/>
    <w:rsid w:val="00D81959"/>
    <w:rsid w:val="00D90B5F"/>
    <w:rsid w:val="00D976BA"/>
    <w:rsid w:val="00D97A85"/>
    <w:rsid w:val="00DA2726"/>
    <w:rsid w:val="00DB16A6"/>
    <w:rsid w:val="00DC00DD"/>
    <w:rsid w:val="00DC56A9"/>
    <w:rsid w:val="00DD2505"/>
    <w:rsid w:val="00DE323E"/>
    <w:rsid w:val="00E00C46"/>
    <w:rsid w:val="00E01834"/>
    <w:rsid w:val="00E02C4A"/>
    <w:rsid w:val="00E06827"/>
    <w:rsid w:val="00E33CA0"/>
    <w:rsid w:val="00E3587E"/>
    <w:rsid w:val="00E41A8F"/>
    <w:rsid w:val="00E44A7D"/>
    <w:rsid w:val="00E722F9"/>
    <w:rsid w:val="00E7714C"/>
    <w:rsid w:val="00E81740"/>
    <w:rsid w:val="00E93416"/>
    <w:rsid w:val="00EA2933"/>
    <w:rsid w:val="00EA39C1"/>
    <w:rsid w:val="00EA436E"/>
    <w:rsid w:val="00EB2182"/>
    <w:rsid w:val="00EC05FD"/>
    <w:rsid w:val="00EE0F7C"/>
    <w:rsid w:val="00EF2D43"/>
    <w:rsid w:val="00F02323"/>
    <w:rsid w:val="00F04414"/>
    <w:rsid w:val="00F045AE"/>
    <w:rsid w:val="00F10777"/>
    <w:rsid w:val="00F16A2F"/>
    <w:rsid w:val="00F32496"/>
    <w:rsid w:val="00F33215"/>
    <w:rsid w:val="00F36496"/>
    <w:rsid w:val="00F469EF"/>
    <w:rsid w:val="00F5010D"/>
    <w:rsid w:val="00F64C32"/>
    <w:rsid w:val="00F70C68"/>
    <w:rsid w:val="00FA0C79"/>
    <w:rsid w:val="00FA14E9"/>
    <w:rsid w:val="00FA5CBA"/>
    <w:rsid w:val="00FC1FF2"/>
    <w:rsid w:val="00FD18DD"/>
    <w:rsid w:val="00FD7913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4BAC-4C60-4C12-AC75-B985FD5D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Санина Екатерина</dc:creator>
  <cp:lastModifiedBy>Сутягина Анна Александровна</cp:lastModifiedBy>
  <cp:revision>92</cp:revision>
  <cp:lastPrinted>2018-12-22T06:43:00Z</cp:lastPrinted>
  <dcterms:created xsi:type="dcterms:W3CDTF">2017-07-03T07:10:00Z</dcterms:created>
  <dcterms:modified xsi:type="dcterms:W3CDTF">2019-08-13T23:47:00Z</dcterms:modified>
</cp:coreProperties>
</file>