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4" w:rsidRPr="003C4266" w:rsidRDefault="00B309F4" w:rsidP="00B40AF4">
      <w:pPr>
        <w:jc w:val="center"/>
        <w:rPr>
          <w:rFonts w:ascii="Times New Roman" w:hAnsi="Times New Roman"/>
          <w:b/>
          <w:sz w:val="24"/>
        </w:rPr>
      </w:pPr>
      <w:r w:rsidRPr="003C4266">
        <w:rPr>
          <w:rFonts w:ascii="Times New Roman" w:hAnsi="Times New Roman"/>
          <w:b/>
          <w:sz w:val="24"/>
        </w:rPr>
        <w:t>Техническое задание</w:t>
      </w:r>
    </w:p>
    <w:p w:rsidR="003C4266" w:rsidRPr="003C4266" w:rsidRDefault="003C4266" w:rsidP="00B40AF4">
      <w:pPr>
        <w:jc w:val="center"/>
        <w:rPr>
          <w:rFonts w:ascii="Times New Roman" w:hAnsi="Times New Roman"/>
          <w:b/>
          <w:sz w:val="24"/>
        </w:rPr>
      </w:pPr>
    </w:p>
    <w:p w:rsidR="004E6869" w:rsidRPr="003C4266" w:rsidRDefault="003C4266" w:rsidP="00B40AF4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</w:t>
      </w:r>
      <w:r w:rsidRPr="003C4266">
        <w:rPr>
          <w:rFonts w:ascii="Times New Roman" w:hAnsi="Times New Roman"/>
          <w:bCs/>
          <w:sz w:val="24"/>
        </w:rPr>
        <w:t>а выполнение работ по обеспечению в 2019 году инвалидов и отдельных категорий граждан из числа ветеранов протезами верхних конечностей</w:t>
      </w:r>
    </w:p>
    <w:p w:rsidR="003C4266" w:rsidRPr="003C4266" w:rsidRDefault="003C4266" w:rsidP="00B40AF4">
      <w:pPr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1275"/>
        <w:gridCol w:w="851"/>
        <w:gridCol w:w="1417"/>
      </w:tblGrid>
      <w:tr w:rsidR="000F485B" w:rsidRPr="003C4266" w:rsidTr="003C4266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AF7955" w:rsidRDefault="000F485B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55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AF7955" w:rsidRDefault="003C4266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55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AF7955" w:rsidRDefault="000F485B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55">
              <w:rPr>
                <w:rFonts w:ascii="Times New Roman" w:hAnsi="Times New Roman"/>
                <w:sz w:val="22"/>
                <w:szCs w:val="22"/>
              </w:rPr>
              <w:t>Цена за ед. (руб.)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485B" w:rsidRPr="00AF7955" w:rsidRDefault="000F485B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55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AF795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AF7955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B" w:rsidRPr="00AF7955" w:rsidRDefault="000F485B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55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3C4266" w:rsidRPr="003C4266" w:rsidTr="003C4266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66" w:rsidRPr="00AF7955" w:rsidRDefault="003C4266" w:rsidP="003C426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55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Протез </w:t>
            </w:r>
            <w:r w:rsidRPr="00AF7955">
              <w:rPr>
                <w:rFonts w:ascii="Times New Roman" w:hAnsi="Times New Roman"/>
                <w:sz w:val="22"/>
                <w:szCs w:val="22"/>
              </w:rPr>
              <w:t>кисти активный (тяговый), в том числе при вычленении и частичном вычленении кисти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66" w:rsidRPr="00862B7E" w:rsidRDefault="00862B7E" w:rsidP="003C4266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862B7E">
              <w:rPr>
                <w:rFonts w:ascii="Times New Roman" w:hAnsi="Times New Roman"/>
                <w:sz w:val="22"/>
                <w:szCs w:val="22"/>
              </w:rPr>
              <w:t xml:space="preserve">Протез должен предназначаться для компенсации врожденных и ампутационных дефектов кисти взрослого и ребёнка, при сохранении лучезапястного сустава. Протез должен состоять из двух </w:t>
            </w:r>
            <w:r w:rsidRPr="00862B7E">
              <w:rPr>
                <w:rFonts w:ascii="Times New Roman" w:hAnsi="Times New Roman"/>
                <w:sz w:val="22"/>
                <w:szCs w:val="22"/>
              </w:rPr>
              <w:br/>
              <w:t xml:space="preserve">частей – каркасные/активные элементы и приемная гильза. Гильза должна изготавливаться по слепку, путем </w:t>
            </w:r>
            <w:proofErr w:type="spellStart"/>
            <w:r w:rsidRPr="00862B7E">
              <w:rPr>
                <w:rFonts w:ascii="Times New Roman" w:hAnsi="Times New Roman"/>
                <w:sz w:val="22"/>
                <w:szCs w:val="22"/>
              </w:rPr>
              <w:t>ламинирования</w:t>
            </w:r>
            <w:proofErr w:type="spellEnd"/>
            <w:r w:rsidRPr="00862B7E">
              <w:rPr>
                <w:rFonts w:ascii="Times New Roman" w:hAnsi="Times New Roman"/>
                <w:sz w:val="22"/>
                <w:szCs w:val="22"/>
              </w:rPr>
              <w:t xml:space="preserve"> или из термопластиков, непосредственно по культе и иметь две шарнирно соединенные части, одна из которых фиксируется на предплечье, вторая плотно облегает культю кисти. Функция </w:t>
            </w:r>
            <w:proofErr w:type="spellStart"/>
            <w:r w:rsidRPr="00862B7E">
              <w:rPr>
                <w:rFonts w:ascii="Times New Roman" w:hAnsi="Times New Roman"/>
                <w:sz w:val="22"/>
                <w:szCs w:val="22"/>
              </w:rPr>
              <w:t>схвата</w:t>
            </w:r>
            <w:proofErr w:type="spellEnd"/>
            <w:r w:rsidRPr="00862B7E">
              <w:rPr>
                <w:rFonts w:ascii="Times New Roman" w:hAnsi="Times New Roman"/>
                <w:sz w:val="22"/>
                <w:szCs w:val="22"/>
              </w:rPr>
              <w:t xml:space="preserve"> должна осуществляться за счет движений в лучезапястном суставе. Протез должен позволять выполнять приведение и отведение кисти, в </w:t>
            </w:r>
            <w:r w:rsidRPr="00862B7E">
              <w:rPr>
                <w:rFonts w:ascii="Times New Roman" w:hAnsi="Times New Roman"/>
                <w:sz w:val="22"/>
                <w:szCs w:val="22"/>
              </w:rPr>
              <w:br/>
              <w:t xml:space="preserve">случае сохранения такой возможности культи кисти. Протез должен имеет возможность фиксации </w:t>
            </w:r>
            <w:proofErr w:type="spellStart"/>
            <w:r w:rsidRPr="00862B7E">
              <w:rPr>
                <w:rFonts w:ascii="Times New Roman" w:hAnsi="Times New Roman"/>
                <w:sz w:val="22"/>
                <w:szCs w:val="22"/>
              </w:rPr>
              <w:t>схвата</w:t>
            </w:r>
            <w:proofErr w:type="spellEnd"/>
            <w:r w:rsidRPr="00862B7E">
              <w:rPr>
                <w:rFonts w:ascii="Times New Roman" w:hAnsi="Times New Roman"/>
                <w:sz w:val="22"/>
                <w:szCs w:val="22"/>
              </w:rPr>
              <w:t xml:space="preserve"> в закрытом состоянии.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266" w:rsidRPr="00AF7955" w:rsidRDefault="00542A8A" w:rsidP="00542A8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115 628,5</w:t>
            </w:r>
            <w:r w:rsidR="00862B7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4266" w:rsidRPr="00AF7955" w:rsidRDefault="00862B7E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66" w:rsidRPr="00AF7955" w:rsidRDefault="00862B7E" w:rsidP="00542A8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542A8A">
              <w:rPr>
                <w:rFonts w:ascii="Times New Roman" w:hAnsi="Times New Roman"/>
                <w:sz w:val="22"/>
                <w:szCs w:val="22"/>
              </w:rPr>
              <w:t>25 028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732BEA" w:rsidRPr="003C4266" w:rsidTr="003C4266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AF7955" w:rsidRDefault="003C4266" w:rsidP="003C426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55">
              <w:rPr>
                <w:rFonts w:ascii="Times New Roman" w:hAnsi="Times New Roman"/>
                <w:sz w:val="22"/>
                <w:szCs w:val="22"/>
                <w:lang w:eastAsia="zh-CN"/>
              </w:rPr>
              <w:t>Протез предплечья активный (тяговый)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AF7955" w:rsidRDefault="004E6869" w:rsidP="003C4266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F7955">
              <w:rPr>
                <w:rFonts w:ascii="Times New Roman" w:eastAsia="Calibri" w:hAnsi="Times New Roman"/>
                <w:sz w:val="22"/>
                <w:szCs w:val="22"/>
              </w:rPr>
              <w:t xml:space="preserve">Протез предплечья должен быть предназначен для компенсации врожденных и ампутационных дефектов предплечья. Управление протезом должно обеспечиваться движениями в локтевом суставе, которое будет вызывать натяжение тяговых тросов. Протез должен состоять из двух приемных гильз, связанных шарниром на </w:t>
            </w:r>
            <w:r w:rsidR="003C4266" w:rsidRPr="00AF7955">
              <w:rPr>
                <w:rFonts w:ascii="Times New Roman" w:eastAsia="Calibri" w:hAnsi="Times New Roman"/>
                <w:sz w:val="22"/>
                <w:szCs w:val="22"/>
              </w:rPr>
              <w:t xml:space="preserve">уровне локтевого сустава. </w:t>
            </w:r>
            <w:proofErr w:type="spellStart"/>
            <w:r w:rsidR="003C4266" w:rsidRPr="00AF7955">
              <w:rPr>
                <w:rFonts w:ascii="Times New Roman" w:eastAsia="Calibri" w:hAnsi="Times New Roman"/>
                <w:sz w:val="22"/>
                <w:szCs w:val="22"/>
              </w:rPr>
              <w:t>Схват</w:t>
            </w:r>
            <w:proofErr w:type="spellEnd"/>
            <w:r w:rsidR="003C4266" w:rsidRPr="00AF795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AF7955">
              <w:rPr>
                <w:rFonts w:ascii="Times New Roman" w:eastAsia="Calibri" w:hAnsi="Times New Roman"/>
                <w:sz w:val="22"/>
                <w:szCs w:val="22"/>
              </w:rPr>
              <w:t xml:space="preserve">должен быть активный, </w:t>
            </w:r>
            <w:proofErr w:type="spellStart"/>
            <w:r w:rsidRPr="00AF7955">
              <w:rPr>
                <w:rFonts w:ascii="Times New Roman" w:eastAsia="Calibri" w:hAnsi="Times New Roman"/>
                <w:sz w:val="22"/>
                <w:szCs w:val="22"/>
              </w:rPr>
              <w:t>разжатие</w:t>
            </w:r>
            <w:proofErr w:type="spellEnd"/>
            <w:r w:rsidRPr="00AF7955">
              <w:rPr>
                <w:rFonts w:ascii="Times New Roman" w:eastAsia="Calibri" w:hAnsi="Times New Roman"/>
                <w:sz w:val="22"/>
                <w:szCs w:val="22"/>
              </w:rPr>
              <w:t xml:space="preserve"> пальцев протеза должно происходить за счет пружин. Протез предплечья должен иметь пассивную ротацию кисти в лучезапястном суставе. Внутренняя гильза должна изготавливаться по слепку, путем </w:t>
            </w:r>
            <w:proofErr w:type="spellStart"/>
            <w:r w:rsidRPr="00AF7955">
              <w:rPr>
                <w:rFonts w:ascii="Times New Roman" w:eastAsia="Calibri" w:hAnsi="Times New Roman"/>
                <w:sz w:val="22"/>
                <w:szCs w:val="22"/>
              </w:rPr>
              <w:t>ламинирования</w:t>
            </w:r>
            <w:proofErr w:type="spellEnd"/>
            <w:r w:rsidRPr="00AF7955">
              <w:rPr>
                <w:rFonts w:ascii="Times New Roman" w:eastAsia="Calibri" w:hAnsi="Times New Roman"/>
                <w:sz w:val="22"/>
                <w:szCs w:val="22"/>
              </w:rPr>
              <w:t xml:space="preserve"> или из термопластика, непосредственно по культе. Несущая гильза должна изготавливаться по технологиям трехмерной печати или из углепластиков. Протез должен иметь возможность фиксации </w:t>
            </w:r>
            <w:proofErr w:type="spellStart"/>
            <w:r w:rsidRPr="00AF7955">
              <w:rPr>
                <w:rFonts w:ascii="Times New Roman" w:eastAsia="Calibri" w:hAnsi="Times New Roman"/>
                <w:sz w:val="22"/>
                <w:szCs w:val="22"/>
              </w:rPr>
              <w:t>схвата</w:t>
            </w:r>
            <w:proofErr w:type="spellEnd"/>
            <w:r w:rsidRPr="00AF7955">
              <w:rPr>
                <w:rFonts w:ascii="Times New Roman" w:eastAsia="Calibri" w:hAnsi="Times New Roman"/>
                <w:sz w:val="22"/>
                <w:szCs w:val="22"/>
              </w:rPr>
              <w:t xml:space="preserve"> в закрытом состоянии.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862B7E" w:rsidRDefault="00862B7E" w:rsidP="00542A8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42A8A">
              <w:rPr>
                <w:rFonts w:ascii="Times New Roman" w:hAnsi="Times New Roman"/>
                <w:sz w:val="22"/>
                <w:szCs w:val="22"/>
              </w:rPr>
              <w:t>88 852</w:t>
            </w:r>
            <w:r w:rsidR="004E6869" w:rsidRPr="00862B7E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862B7E" w:rsidRDefault="00862B7E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B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862B7E" w:rsidRDefault="00542A8A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944 260</w:t>
            </w:r>
            <w:r w:rsidR="004E6869" w:rsidRPr="00862B7E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732BEA" w:rsidRPr="003C4266" w:rsidTr="003C4266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AF7955" w:rsidRDefault="003C4266" w:rsidP="003C4266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F7955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r w:rsidR="00732BEA" w:rsidRPr="00AF795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AF7955" w:rsidRDefault="00732BEA" w:rsidP="003C426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AF7955" w:rsidRDefault="00732BEA" w:rsidP="003C426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862B7E" w:rsidRDefault="00862B7E" w:rsidP="003C42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2B7E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862B7E" w:rsidRDefault="00862B7E" w:rsidP="00542A8A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1 8</w:t>
            </w:r>
            <w:r w:rsidR="00542A8A">
              <w:rPr>
                <w:rFonts w:ascii="Times New Roman" w:hAnsi="Times New Roman"/>
                <w:b/>
                <w:bCs/>
                <w:sz w:val="22"/>
                <w:szCs w:val="22"/>
              </w:rPr>
              <w:t>69 288</w:t>
            </w:r>
            <w:r w:rsidR="004E6869" w:rsidRPr="00862B7E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</w:tbl>
    <w:p w:rsidR="008B18DE" w:rsidRPr="003C4266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8B18DE" w:rsidRPr="003C4266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ind w:firstLine="708"/>
        <w:rPr>
          <w:bCs/>
          <w:color w:val="000000"/>
        </w:rPr>
      </w:pPr>
      <w:r w:rsidRPr="003C4266">
        <w:rPr>
          <w:bCs/>
          <w:color w:val="000000"/>
        </w:rPr>
        <w:t>Качество протезов верхних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862B7E" w:rsidRDefault="00862B7E" w:rsidP="00E878A8">
      <w:pPr>
        <w:pStyle w:val="a4"/>
        <w:widowControl w:val="0"/>
        <w:suppressLineNumbers/>
        <w:suppressAutoHyphens w:val="0"/>
        <w:snapToGrid w:val="0"/>
        <w:spacing w:after="0"/>
        <w:ind w:firstLine="680"/>
        <w:jc w:val="center"/>
        <w:rPr>
          <w:b/>
          <w:bCs/>
          <w:color w:val="000000"/>
        </w:rPr>
      </w:pPr>
    </w:p>
    <w:p w:rsidR="00BD433F" w:rsidRPr="003C4266" w:rsidRDefault="008B18DE" w:rsidP="00E878A8">
      <w:pPr>
        <w:pStyle w:val="a4"/>
        <w:widowControl w:val="0"/>
        <w:suppressLineNumbers/>
        <w:suppressAutoHyphens w:val="0"/>
        <w:snapToGrid w:val="0"/>
        <w:spacing w:after="0"/>
        <w:ind w:firstLine="680"/>
        <w:jc w:val="center"/>
        <w:rPr>
          <w:b/>
          <w:bCs/>
          <w:color w:val="000000"/>
        </w:rPr>
      </w:pPr>
      <w:r w:rsidRPr="003C4266">
        <w:rPr>
          <w:b/>
          <w:bCs/>
          <w:color w:val="000000"/>
        </w:rPr>
        <w:t>Требования к качеству работ</w:t>
      </w:r>
    </w:p>
    <w:p w:rsidR="00722F7C" w:rsidRPr="00584B65" w:rsidRDefault="008B18DE" w:rsidP="00722F7C">
      <w:pPr>
        <w:pStyle w:val="a4"/>
        <w:spacing w:after="0"/>
        <w:ind w:firstLine="680"/>
      </w:pPr>
      <w:r w:rsidRPr="00584B65">
        <w:rPr>
          <w:color w:val="000000"/>
        </w:rPr>
        <w:t>Протезы верхних конечностей должны соответствовать требованиям Национального стандарта Российск</w:t>
      </w:r>
      <w:r w:rsidR="00DF7573" w:rsidRPr="00584B65">
        <w:rPr>
          <w:color w:val="000000"/>
        </w:rPr>
        <w:t xml:space="preserve">ой Федерации </w:t>
      </w:r>
      <w:r w:rsidR="00722F7C" w:rsidRPr="00584B65">
        <w:t xml:space="preserve">ГОСТ Р 51632-2014 «Технические средства реабилитации </w:t>
      </w:r>
      <w:r w:rsidR="00722F7C" w:rsidRPr="00584B65">
        <w:lastRenderedPageBreak/>
        <w:t>людей с ограничениями жизнедеятельности. Общие технические требования и методы испытаний»</w:t>
      </w:r>
      <w:r w:rsidR="00722F7C" w:rsidRPr="00584B65">
        <w:rPr>
          <w:color w:val="000000"/>
        </w:rPr>
        <w:t>; ГОСТ Р 52770-20</w:t>
      </w:r>
      <w:r w:rsidR="00E54800" w:rsidRPr="00584B65">
        <w:rPr>
          <w:color w:val="000000"/>
        </w:rPr>
        <w:t>16</w:t>
      </w:r>
      <w:r w:rsidR="00722F7C" w:rsidRPr="00584B65">
        <w:rPr>
          <w:color w:val="000000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  <w:r w:rsidR="00722F7C" w:rsidRPr="00584B65">
        <w:rPr>
          <w:spacing w:val="-1"/>
        </w:rPr>
        <w:t xml:space="preserve"> ГОСТ ИСО 10993-1-2011</w:t>
      </w:r>
      <w:r w:rsidR="00722F7C" w:rsidRPr="00584B65">
        <w:t xml:space="preserve"> "Изделия медицинские. Оценка биологического действия медицинских изделий. Часть 1. Оценка и исследования",</w:t>
      </w:r>
      <w:r w:rsidR="00722F7C" w:rsidRPr="00584B65">
        <w:rPr>
          <w:spacing w:val="-1"/>
        </w:rPr>
        <w:t xml:space="preserve">10993-5-2011 </w:t>
      </w:r>
      <w:r w:rsidR="00722F7C" w:rsidRPr="00584B65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722F7C" w:rsidRPr="00584B65">
        <w:t>цитотоксичность</w:t>
      </w:r>
      <w:proofErr w:type="spellEnd"/>
      <w:r w:rsidR="00722F7C" w:rsidRPr="00584B65">
        <w:t xml:space="preserve">: методы </w:t>
      </w:r>
      <w:proofErr w:type="spellStart"/>
      <w:r w:rsidR="00722F7C" w:rsidRPr="00584B65">
        <w:t>in</w:t>
      </w:r>
      <w:proofErr w:type="spellEnd"/>
      <w:r w:rsidR="00722F7C" w:rsidRPr="00584B65">
        <w:t xml:space="preserve"> </w:t>
      </w:r>
      <w:proofErr w:type="spellStart"/>
      <w:r w:rsidR="00722F7C" w:rsidRPr="00584B65">
        <w:t>vitro</w:t>
      </w:r>
      <w:proofErr w:type="spellEnd"/>
      <w:r w:rsidR="00722F7C" w:rsidRPr="00584B65">
        <w:t>",</w:t>
      </w:r>
      <w:r w:rsidR="00722F7C" w:rsidRPr="00584B65">
        <w:rPr>
          <w:spacing w:val="-1"/>
        </w:rPr>
        <w:t xml:space="preserve"> 10993-10-2011 </w:t>
      </w:r>
      <w:r w:rsidR="00722F7C" w:rsidRPr="00584B65"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="00722F7C" w:rsidRPr="00584B65">
        <w:t>ортезы</w:t>
      </w:r>
      <w:proofErr w:type="spellEnd"/>
      <w:r w:rsidR="00722F7C" w:rsidRPr="00584B65">
        <w:t xml:space="preserve"> наружные. Требования и методы испытаний».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Исполнитель должен: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</w:t>
      </w:r>
      <w:r>
        <w:rPr>
          <w:rFonts w:ascii="Times New Roman" w:eastAsia="Times New Roman" w:hAnsi="Times New Roman"/>
          <w:kern w:val="0"/>
          <w:sz w:val="24"/>
        </w:rPr>
        <w:t xml:space="preserve"> оборудовать помещение (пункты </w:t>
      </w:r>
      <w:r w:rsidRPr="00584B65">
        <w:rPr>
          <w:rFonts w:ascii="Times New Roman" w:eastAsia="Times New Roman" w:hAnsi="Times New Roman"/>
          <w:kern w:val="0"/>
          <w:sz w:val="24"/>
        </w:rPr>
        <w:t xml:space="preserve">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584B65">
        <w:rPr>
          <w:rFonts w:ascii="Times New Roman" w:eastAsia="Times New Roman" w:hAnsi="Times New Roman"/>
          <w:kern w:val="0"/>
          <w:sz w:val="24"/>
        </w:rPr>
        <w:t>т.п</w:t>
      </w:r>
      <w:proofErr w:type="spellEnd"/>
      <w:r w:rsidRPr="00584B65">
        <w:rPr>
          <w:rFonts w:ascii="Times New Roman" w:eastAsia="Times New Roman" w:hAnsi="Times New Roman"/>
          <w:kern w:val="0"/>
          <w:sz w:val="24"/>
        </w:rPr>
        <w:t>;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 осуществлять</w:t>
      </w:r>
      <w:r w:rsidRPr="00584B65">
        <w:rPr>
          <w:rFonts w:ascii="Times New Roman" w:eastAsia="Times New Roman" w:hAnsi="Times New Roman"/>
          <w:kern w:val="0"/>
          <w:sz w:val="24"/>
        </w:rPr>
        <w:t xml:space="preserve">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 xml:space="preserve"> Исполнитель должен изготовить протез, удовлетворяющий следующим требованиям: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584B65" w:rsidRPr="00584B65" w:rsidRDefault="00584B65" w:rsidP="00584B65">
      <w:pPr>
        <w:ind w:right="-144" w:firstLine="652"/>
        <w:jc w:val="both"/>
        <w:rPr>
          <w:rFonts w:ascii="Times New Roman" w:eastAsia="Times New Roman" w:hAnsi="Times New Roman"/>
          <w:kern w:val="0"/>
          <w:sz w:val="24"/>
        </w:rPr>
      </w:pPr>
      <w:r w:rsidRPr="00584B65">
        <w:rPr>
          <w:rFonts w:ascii="Times New Roman" w:eastAsia="Times New Roman" w:hAnsi="Times New Roman"/>
          <w:kern w:val="0"/>
          <w:sz w:val="24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584B65" w:rsidRPr="00584B65" w:rsidRDefault="00584B65" w:rsidP="00584B65">
      <w:pPr>
        <w:pStyle w:val="a4"/>
        <w:spacing w:after="0"/>
        <w:ind w:right="-144" w:firstLine="709"/>
        <w:rPr>
          <w:lang w:eastAsia="en-US"/>
        </w:rPr>
      </w:pPr>
      <w:r w:rsidRPr="00584B65">
        <w:rPr>
          <w:lang w:eastAsia="en-US"/>
        </w:rPr>
        <w:t>Качество протеза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584B65" w:rsidRPr="00584B65" w:rsidRDefault="00584B65" w:rsidP="00584B6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t>Изготовитель должен изготавливать протезы, удовлетворяющие следующим требованиям.</w:t>
      </w:r>
    </w:p>
    <w:p w:rsidR="00584B65" w:rsidRPr="00584B65" w:rsidRDefault="00584B65" w:rsidP="00584B6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t>- не должно создаваться угрозы для жизни и здоровья полу</w:t>
      </w:r>
      <w:r>
        <w:rPr>
          <w:color w:val="000000"/>
        </w:rPr>
        <w:t>чателя, окружающей среды, а так</w:t>
      </w:r>
      <w:r w:rsidRPr="00584B65">
        <w:rPr>
          <w:color w:val="000000"/>
        </w:rPr>
        <w:t>же использование протезов не должно причинять вред имуществу получателя при его эксплуатации.</w:t>
      </w:r>
    </w:p>
    <w:p w:rsidR="00584B65" w:rsidRPr="00584B65" w:rsidRDefault="00584B65" w:rsidP="00584B6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lastRenderedPageBreak/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эксплуатации.</w:t>
      </w:r>
    </w:p>
    <w:p w:rsidR="00584B65" w:rsidRPr="00584B65" w:rsidRDefault="00584B65" w:rsidP="00584B65">
      <w:pPr>
        <w:pStyle w:val="a4"/>
        <w:spacing w:after="0"/>
        <w:ind w:firstLine="680"/>
        <w:rPr>
          <w:color w:val="000000"/>
        </w:rPr>
      </w:pPr>
      <w:r w:rsidRPr="00584B65">
        <w:rPr>
          <w:color w:val="000000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BD433F" w:rsidRPr="003C4266" w:rsidRDefault="00BD433F" w:rsidP="00BD433F">
      <w:pPr>
        <w:pStyle w:val="a4"/>
        <w:spacing w:after="0"/>
        <w:jc w:val="center"/>
        <w:rPr>
          <w:b/>
          <w:color w:val="000000"/>
        </w:rPr>
      </w:pPr>
    </w:p>
    <w:p w:rsidR="00BD433F" w:rsidRPr="003C4266" w:rsidRDefault="00BD433F" w:rsidP="00E878A8">
      <w:pPr>
        <w:pStyle w:val="a4"/>
        <w:spacing w:after="0"/>
        <w:jc w:val="center"/>
        <w:rPr>
          <w:b/>
          <w:color w:val="000000"/>
        </w:rPr>
      </w:pPr>
      <w:r w:rsidRPr="003C4266">
        <w:rPr>
          <w:b/>
          <w:color w:val="000000"/>
        </w:rPr>
        <w:t>Требования к результатам работ</w:t>
      </w:r>
    </w:p>
    <w:p w:rsidR="008B18DE" w:rsidRPr="003C4266" w:rsidRDefault="008B18DE" w:rsidP="008B18DE">
      <w:pPr>
        <w:pStyle w:val="a4"/>
        <w:spacing w:after="0"/>
        <w:ind w:firstLine="680"/>
        <w:rPr>
          <w:color w:val="000000"/>
        </w:rPr>
      </w:pPr>
      <w:r w:rsidRPr="003C4266">
        <w:rPr>
          <w:color w:val="000000"/>
        </w:rPr>
        <w:t>Работы по обеспечению получателей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AF7955" w:rsidRPr="003C4266" w:rsidRDefault="00AF7955" w:rsidP="00722F7C">
      <w:pPr>
        <w:ind w:firstLine="680"/>
        <w:jc w:val="both"/>
        <w:rPr>
          <w:rFonts w:ascii="Times New Roman" w:hAnsi="Times New Roman"/>
          <w:sz w:val="24"/>
        </w:rPr>
      </w:pPr>
    </w:p>
    <w:p w:rsidR="00AF7955" w:rsidRPr="00AF7955" w:rsidRDefault="00AF7955" w:rsidP="00AF7955">
      <w:pPr>
        <w:pStyle w:val="a4"/>
        <w:spacing w:after="0"/>
        <w:ind w:right="-144" w:firstLine="709"/>
        <w:rPr>
          <w:lang w:eastAsia="en-US"/>
        </w:rPr>
      </w:pPr>
      <w:r w:rsidRPr="00A77F0D">
        <w:rPr>
          <w:b/>
          <w:lang w:eastAsia="en-US"/>
        </w:rPr>
        <w:t>Гарантийный срок</w:t>
      </w:r>
      <w:r w:rsidRPr="00AF7955">
        <w:rPr>
          <w:lang w:eastAsia="en-US"/>
        </w:rPr>
        <w:t xml:space="preserve"> должен быть не менее срока пользования протезом, установленного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 г. № 85н.</w:t>
      </w:r>
    </w:p>
    <w:p w:rsidR="000A420F" w:rsidRPr="003C4266" w:rsidRDefault="000A420F" w:rsidP="0016506B">
      <w:pPr>
        <w:jc w:val="both"/>
        <w:rPr>
          <w:rFonts w:ascii="Times New Roman" w:hAnsi="Times New Roman"/>
          <w:sz w:val="24"/>
        </w:rPr>
      </w:pPr>
    </w:p>
    <w:p w:rsidR="00AE4CA3" w:rsidRPr="003C4266" w:rsidRDefault="0016506B" w:rsidP="00722F7C">
      <w:pPr>
        <w:ind w:firstLine="680"/>
        <w:jc w:val="both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 xml:space="preserve">Срок гарантии на протезы верхних </w:t>
      </w:r>
      <w:r w:rsidR="00AE4CA3" w:rsidRPr="003C4266">
        <w:rPr>
          <w:rFonts w:ascii="Times New Roman" w:hAnsi="Times New Roman"/>
          <w:sz w:val="24"/>
        </w:rPr>
        <w:t>конечностей не менее 7 месяцев.</w:t>
      </w:r>
    </w:p>
    <w:p w:rsidR="004E6869" w:rsidRPr="003C4266" w:rsidRDefault="004E6869" w:rsidP="00722F7C">
      <w:pPr>
        <w:ind w:firstLine="680"/>
        <w:jc w:val="both"/>
        <w:rPr>
          <w:rFonts w:ascii="Times New Roman" w:hAnsi="Times New Roman"/>
          <w:sz w:val="24"/>
        </w:rPr>
      </w:pPr>
    </w:p>
    <w:p w:rsidR="000A420F" w:rsidRDefault="00BD433F" w:rsidP="00BD433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3C4266">
        <w:rPr>
          <w:rFonts w:ascii="Times New Roman" w:hAnsi="Times New Roman"/>
          <w:bCs/>
          <w:sz w:val="24"/>
        </w:rPr>
        <w:t xml:space="preserve">Срок пользования: </w:t>
      </w:r>
      <w:r w:rsidRPr="003C4266">
        <w:rPr>
          <w:rFonts w:ascii="Times New Roman" w:hAnsi="Times New Roman"/>
          <w:color w:val="000000"/>
          <w:sz w:val="24"/>
        </w:rPr>
        <w:t>протезами верхних конечностей составляет 2 года (для детей-инвалидов 1 год) с даты предоставления его Получателю.</w:t>
      </w:r>
    </w:p>
    <w:p w:rsidR="00E878A8" w:rsidRDefault="00E878A8" w:rsidP="00BD433F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E878A8" w:rsidRPr="00E878A8" w:rsidRDefault="00E878A8" w:rsidP="00E878A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878A8">
        <w:rPr>
          <w:rFonts w:ascii="Times New Roman" w:hAnsi="Times New Roman"/>
          <w:color w:val="000000"/>
          <w:sz w:val="24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AF7955" w:rsidRDefault="00AF7955" w:rsidP="00BD433F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F7955" w:rsidRPr="00AF7955" w:rsidRDefault="00AF7955" w:rsidP="00AF7955">
      <w:pPr>
        <w:ind w:right="-144" w:firstLine="567"/>
        <w:jc w:val="both"/>
        <w:rPr>
          <w:rFonts w:ascii="Times New Roman" w:hAnsi="Times New Roman"/>
          <w:color w:val="000000"/>
          <w:sz w:val="24"/>
        </w:rPr>
      </w:pPr>
      <w:r w:rsidRPr="00AF7955">
        <w:rPr>
          <w:rFonts w:ascii="Times New Roman" w:hAnsi="Times New Roman"/>
          <w:color w:val="000000"/>
          <w:sz w:val="24"/>
        </w:rPr>
        <w:t xml:space="preserve">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07.04.2008г. № 240, срок обеспечения Получателя не может превышать - 60 календарных дней с момента его обращения к Исполнителю с Направлением, выданным филиалом Заказчика (при непосредственном обращении Получателя к Исполнителю).</w:t>
      </w:r>
    </w:p>
    <w:p w:rsidR="00BD433F" w:rsidRPr="003C4266" w:rsidRDefault="00BD433F" w:rsidP="00B309F4">
      <w:pPr>
        <w:rPr>
          <w:rFonts w:ascii="Times New Roman" w:hAnsi="Times New Roman"/>
          <w:sz w:val="24"/>
        </w:rPr>
      </w:pPr>
    </w:p>
    <w:p w:rsidR="00B309F4" w:rsidRPr="003C4266" w:rsidRDefault="00B309F4" w:rsidP="00722F7C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 xml:space="preserve">Размер обеспечения заявки </w:t>
      </w:r>
      <w:r w:rsidR="00862B7E">
        <w:rPr>
          <w:rFonts w:ascii="Times New Roman" w:hAnsi="Times New Roman"/>
          <w:sz w:val="24"/>
        </w:rPr>
        <w:t>–</w:t>
      </w:r>
      <w:r w:rsidR="00EE089C" w:rsidRPr="003C4266">
        <w:rPr>
          <w:rFonts w:ascii="Times New Roman" w:hAnsi="Times New Roman"/>
          <w:sz w:val="24"/>
        </w:rPr>
        <w:t xml:space="preserve"> </w:t>
      </w:r>
      <w:r w:rsidR="00542A8A">
        <w:rPr>
          <w:rFonts w:ascii="Times New Roman" w:hAnsi="Times New Roman"/>
          <w:sz w:val="24"/>
        </w:rPr>
        <w:t>0,</w:t>
      </w:r>
      <w:r w:rsidR="00BD433F" w:rsidRPr="003C4266">
        <w:rPr>
          <w:rFonts w:ascii="Times New Roman" w:hAnsi="Times New Roman"/>
          <w:sz w:val="24"/>
        </w:rPr>
        <w:t>5</w:t>
      </w:r>
      <w:r w:rsidRPr="003C4266">
        <w:rPr>
          <w:rFonts w:ascii="Times New Roman" w:hAnsi="Times New Roman"/>
          <w:sz w:val="24"/>
        </w:rPr>
        <w:t>%</w:t>
      </w:r>
    </w:p>
    <w:p w:rsidR="00B309F4" w:rsidRPr="003C4266" w:rsidRDefault="00B309F4" w:rsidP="00B309F4">
      <w:pPr>
        <w:rPr>
          <w:rFonts w:ascii="Times New Roman" w:hAnsi="Times New Roman"/>
          <w:sz w:val="24"/>
        </w:rPr>
      </w:pPr>
    </w:p>
    <w:p w:rsidR="00B309F4" w:rsidRDefault="00B309F4" w:rsidP="00722F7C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>Размер обеспечения исполнения Государственного контракта</w:t>
      </w:r>
      <w:r w:rsidR="00862B7E">
        <w:rPr>
          <w:rFonts w:ascii="Times New Roman" w:hAnsi="Times New Roman"/>
          <w:sz w:val="24"/>
        </w:rPr>
        <w:t xml:space="preserve"> – </w:t>
      </w:r>
      <w:r w:rsidR="00BD433F" w:rsidRPr="003C4266">
        <w:rPr>
          <w:rFonts w:ascii="Times New Roman" w:hAnsi="Times New Roman"/>
          <w:sz w:val="24"/>
        </w:rPr>
        <w:t>30</w:t>
      </w:r>
      <w:r w:rsidRPr="003C4266">
        <w:rPr>
          <w:rFonts w:ascii="Times New Roman" w:hAnsi="Times New Roman"/>
          <w:sz w:val="24"/>
        </w:rPr>
        <w:t>%</w:t>
      </w:r>
    </w:p>
    <w:p w:rsidR="00862B7E" w:rsidRDefault="00862B7E" w:rsidP="00722F7C">
      <w:pPr>
        <w:ind w:firstLine="680"/>
        <w:rPr>
          <w:rFonts w:ascii="Times New Roman" w:hAnsi="Times New Roman"/>
          <w:sz w:val="24"/>
        </w:rPr>
      </w:pPr>
    </w:p>
    <w:p w:rsidR="00862B7E" w:rsidRPr="003C4266" w:rsidRDefault="00862B7E" w:rsidP="00722F7C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гарантийных обязательств – 10 %.</w:t>
      </w:r>
    </w:p>
    <w:p w:rsidR="00B309F4" w:rsidRPr="003C4266" w:rsidRDefault="00B309F4" w:rsidP="00B309F4">
      <w:pPr>
        <w:rPr>
          <w:rFonts w:ascii="Times New Roman" w:hAnsi="Times New Roman"/>
          <w:sz w:val="24"/>
        </w:rPr>
      </w:pPr>
    </w:p>
    <w:p w:rsidR="00DD7C5B" w:rsidRPr="003C4266" w:rsidRDefault="00DD7C5B" w:rsidP="00722F7C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 xml:space="preserve">Срок выполнения работ </w:t>
      </w:r>
      <w:r w:rsidR="003A32A2" w:rsidRPr="003C4266">
        <w:rPr>
          <w:rFonts w:ascii="Times New Roman" w:hAnsi="Times New Roman"/>
          <w:sz w:val="24"/>
        </w:rPr>
        <w:t>п</w:t>
      </w:r>
      <w:r w:rsidRPr="003C4266">
        <w:rPr>
          <w:rFonts w:ascii="Times New Roman" w:hAnsi="Times New Roman"/>
          <w:sz w:val="24"/>
        </w:rPr>
        <w:t xml:space="preserve">о 01 </w:t>
      </w:r>
      <w:r w:rsidR="00BD433F" w:rsidRPr="003C4266">
        <w:rPr>
          <w:rFonts w:ascii="Times New Roman" w:hAnsi="Times New Roman"/>
          <w:sz w:val="24"/>
        </w:rPr>
        <w:t>декабря</w:t>
      </w:r>
      <w:r w:rsidRPr="003C4266">
        <w:rPr>
          <w:rFonts w:ascii="Times New Roman" w:hAnsi="Times New Roman"/>
          <w:sz w:val="24"/>
        </w:rPr>
        <w:t xml:space="preserve"> 201</w:t>
      </w:r>
      <w:r w:rsidR="00BD433F" w:rsidRPr="003C4266">
        <w:rPr>
          <w:rFonts w:ascii="Times New Roman" w:hAnsi="Times New Roman"/>
          <w:sz w:val="24"/>
        </w:rPr>
        <w:t>9</w:t>
      </w:r>
      <w:r w:rsidRPr="003C4266">
        <w:rPr>
          <w:rFonts w:ascii="Times New Roman" w:hAnsi="Times New Roman"/>
          <w:sz w:val="24"/>
        </w:rPr>
        <w:t>г.</w:t>
      </w:r>
    </w:p>
    <w:p w:rsidR="00DD7C5B" w:rsidRPr="003C4266" w:rsidRDefault="00DD7C5B" w:rsidP="00DD7C5B">
      <w:pPr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 xml:space="preserve"> </w:t>
      </w:r>
    </w:p>
    <w:p w:rsidR="00DD7C5B" w:rsidRPr="003C4266" w:rsidRDefault="00DD7C5B" w:rsidP="00722F7C">
      <w:pPr>
        <w:ind w:firstLine="680"/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 xml:space="preserve">Срок действия контракта по </w:t>
      </w:r>
      <w:r w:rsidR="00BD433F" w:rsidRPr="003C4266">
        <w:rPr>
          <w:rFonts w:ascii="Times New Roman" w:hAnsi="Times New Roman"/>
          <w:sz w:val="24"/>
        </w:rPr>
        <w:t>31</w:t>
      </w:r>
      <w:r w:rsidRPr="003C4266">
        <w:rPr>
          <w:rFonts w:ascii="Times New Roman" w:hAnsi="Times New Roman"/>
          <w:sz w:val="24"/>
        </w:rPr>
        <w:t xml:space="preserve"> декабря 201</w:t>
      </w:r>
      <w:r w:rsidR="00BD433F" w:rsidRPr="003C4266">
        <w:rPr>
          <w:rFonts w:ascii="Times New Roman" w:hAnsi="Times New Roman"/>
          <w:sz w:val="24"/>
        </w:rPr>
        <w:t>9</w:t>
      </w:r>
      <w:r w:rsidRPr="003C4266">
        <w:rPr>
          <w:rFonts w:ascii="Times New Roman" w:hAnsi="Times New Roman"/>
          <w:sz w:val="24"/>
        </w:rPr>
        <w:t>г.</w:t>
      </w:r>
    </w:p>
    <w:p w:rsidR="00B309F4" w:rsidRPr="003C4266" w:rsidRDefault="00B309F4" w:rsidP="00B309F4">
      <w:pPr>
        <w:rPr>
          <w:rFonts w:ascii="Times New Roman" w:hAnsi="Times New Roman"/>
          <w:sz w:val="24"/>
        </w:rPr>
      </w:pPr>
      <w:r w:rsidRPr="003C4266">
        <w:rPr>
          <w:rFonts w:ascii="Times New Roman" w:hAnsi="Times New Roman"/>
          <w:sz w:val="24"/>
        </w:rPr>
        <w:t>.</w:t>
      </w:r>
      <w:r w:rsidR="00722F7C" w:rsidRPr="003C4266">
        <w:rPr>
          <w:rFonts w:ascii="Times New Roman" w:hAnsi="Times New Roman"/>
          <w:sz w:val="24"/>
        </w:rPr>
        <w:tab/>
      </w:r>
    </w:p>
    <w:p w:rsidR="00A77F0D" w:rsidRDefault="00326CFE" w:rsidP="00A77F0D">
      <w:pPr>
        <w:ind w:right="-144" w:firstLine="567"/>
        <w:jc w:val="both"/>
        <w:rPr>
          <w:rFonts w:ascii="Times New Roman" w:eastAsia="Lucida Sans Unicode" w:hAnsi="Times New Roman"/>
          <w:bCs/>
          <w:color w:val="000000"/>
          <w:spacing w:val="-1"/>
          <w:sz w:val="24"/>
        </w:rPr>
      </w:pPr>
      <w:r w:rsidRPr="003C4266">
        <w:rPr>
          <w:rFonts w:ascii="Times New Roman" w:hAnsi="Times New Roman"/>
          <w:b/>
          <w:sz w:val="24"/>
        </w:rPr>
        <w:t xml:space="preserve">  </w:t>
      </w:r>
      <w:r w:rsidR="00A77F0D" w:rsidRPr="00A77F0D">
        <w:rPr>
          <w:rFonts w:ascii="Times New Roman" w:eastAsia="Lucida Sans Unicode" w:hAnsi="Times New Roman"/>
          <w:b/>
          <w:bCs/>
          <w:color w:val="000000"/>
          <w:spacing w:val="-1"/>
          <w:sz w:val="24"/>
        </w:rPr>
        <w:t xml:space="preserve">Место выполнения работ: </w:t>
      </w:r>
      <w:r w:rsidR="00A77F0D" w:rsidRPr="00A77F0D">
        <w:rPr>
          <w:rFonts w:ascii="Times New Roman" w:eastAsia="Lucida Sans Unicode" w:hAnsi="Times New Roman"/>
          <w:bCs/>
          <w:color w:val="000000"/>
          <w:spacing w:val="-1"/>
          <w:sz w:val="24"/>
        </w:rPr>
        <w:t xml:space="preserve"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протезом.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</w:t>
      </w:r>
      <w:r w:rsidR="00A77F0D" w:rsidRPr="00A77F0D">
        <w:rPr>
          <w:rFonts w:ascii="Times New Roman" w:eastAsia="Lucida Sans Unicode" w:hAnsi="Times New Roman"/>
          <w:bCs/>
          <w:color w:val="000000"/>
          <w:spacing w:val="-1"/>
          <w:sz w:val="24"/>
        </w:rPr>
        <w:lastRenderedPageBreak/>
        <w:t>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A77F0D" w:rsidRPr="00A77F0D" w:rsidRDefault="00A77F0D" w:rsidP="00A77F0D">
      <w:pPr>
        <w:ind w:right="-144" w:firstLine="567"/>
        <w:jc w:val="both"/>
        <w:rPr>
          <w:rFonts w:ascii="Times New Roman" w:eastAsia="Lucida Sans Unicode" w:hAnsi="Times New Roman"/>
          <w:color w:val="000000"/>
          <w:spacing w:val="-1"/>
          <w:sz w:val="24"/>
        </w:rPr>
      </w:pPr>
      <w:bookmarkStart w:id="0" w:name="_GoBack"/>
      <w:bookmarkEnd w:id="0"/>
    </w:p>
    <w:sectPr w:rsidR="00A77F0D" w:rsidRPr="00A77F0D" w:rsidSect="003C4266">
      <w:pgSz w:w="11906" w:h="16838"/>
      <w:pgMar w:top="851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4"/>
    <w:rsid w:val="00003292"/>
    <w:rsid w:val="000556A8"/>
    <w:rsid w:val="000A420F"/>
    <w:rsid w:val="000F485B"/>
    <w:rsid w:val="0016506B"/>
    <w:rsid w:val="00173DEB"/>
    <w:rsid w:val="001924FD"/>
    <w:rsid w:val="001C3D7B"/>
    <w:rsid w:val="00221EAF"/>
    <w:rsid w:val="00225D10"/>
    <w:rsid w:val="002330C8"/>
    <w:rsid w:val="0025057B"/>
    <w:rsid w:val="00277D71"/>
    <w:rsid w:val="0029504F"/>
    <w:rsid w:val="002D23D9"/>
    <w:rsid w:val="003065A8"/>
    <w:rsid w:val="00326CFE"/>
    <w:rsid w:val="00386A70"/>
    <w:rsid w:val="003A32A2"/>
    <w:rsid w:val="003C4266"/>
    <w:rsid w:val="00414261"/>
    <w:rsid w:val="004344F2"/>
    <w:rsid w:val="004C753F"/>
    <w:rsid w:val="004D4C27"/>
    <w:rsid w:val="004E6869"/>
    <w:rsid w:val="005244EB"/>
    <w:rsid w:val="00542A8A"/>
    <w:rsid w:val="005637E0"/>
    <w:rsid w:val="005649DB"/>
    <w:rsid w:val="00567E43"/>
    <w:rsid w:val="00584B65"/>
    <w:rsid w:val="00597503"/>
    <w:rsid w:val="005A295C"/>
    <w:rsid w:val="005B47D9"/>
    <w:rsid w:val="005B7CE2"/>
    <w:rsid w:val="005C0D92"/>
    <w:rsid w:val="005F1A2F"/>
    <w:rsid w:val="00625A5E"/>
    <w:rsid w:val="00632B5E"/>
    <w:rsid w:val="00633F81"/>
    <w:rsid w:val="00694FE7"/>
    <w:rsid w:val="006C5CE4"/>
    <w:rsid w:val="00721AE3"/>
    <w:rsid w:val="00722F7C"/>
    <w:rsid w:val="00732BEA"/>
    <w:rsid w:val="00742AC3"/>
    <w:rsid w:val="007D4A1A"/>
    <w:rsid w:val="0081043A"/>
    <w:rsid w:val="00862B7E"/>
    <w:rsid w:val="00871759"/>
    <w:rsid w:val="008A3530"/>
    <w:rsid w:val="008B1193"/>
    <w:rsid w:val="008B18DE"/>
    <w:rsid w:val="008D1913"/>
    <w:rsid w:val="009A3DF6"/>
    <w:rsid w:val="009A5B2E"/>
    <w:rsid w:val="009F2BE6"/>
    <w:rsid w:val="00A2350B"/>
    <w:rsid w:val="00A23D73"/>
    <w:rsid w:val="00A26B42"/>
    <w:rsid w:val="00A77F0D"/>
    <w:rsid w:val="00AD1AC3"/>
    <w:rsid w:val="00AE4CA3"/>
    <w:rsid w:val="00AF6D8E"/>
    <w:rsid w:val="00AF7955"/>
    <w:rsid w:val="00B05159"/>
    <w:rsid w:val="00B309F4"/>
    <w:rsid w:val="00B40AF4"/>
    <w:rsid w:val="00B43509"/>
    <w:rsid w:val="00B46EFF"/>
    <w:rsid w:val="00B843AA"/>
    <w:rsid w:val="00B875A1"/>
    <w:rsid w:val="00BC1BFA"/>
    <w:rsid w:val="00BC741D"/>
    <w:rsid w:val="00BD433F"/>
    <w:rsid w:val="00C349E9"/>
    <w:rsid w:val="00C371C2"/>
    <w:rsid w:val="00C509A8"/>
    <w:rsid w:val="00C84CDD"/>
    <w:rsid w:val="00D72AE9"/>
    <w:rsid w:val="00DD7C5B"/>
    <w:rsid w:val="00DF7573"/>
    <w:rsid w:val="00E54800"/>
    <w:rsid w:val="00E7353F"/>
    <w:rsid w:val="00E840ED"/>
    <w:rsid w:val="00E878A8"/>
    <w:rsid w:val="00EE089C"/>
    <w:rsid w:val="00EE2925"/>
    <w:rsid w:val="00EF0102"/>
    <w:rsid w:val="00F00F48"/>
    <w:rsid w:val="00F20609"/>
    <w:rsid w:val="00F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9970-FAB7-4198-8409-F0388BC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2A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9F4"/>
    <w:pPr>
      <w:suppressLineNumbers/>
    </w:pPr>
  </w:style>
  <w:style w:type="paragraph" w:styleId="a4">
    <w:name w:val="Body Text"/>
    <w:basedOn w:val="a"/>
    <w:link w:val="a5"/>
    <w:unhideWhenUsed/>
    <w:rsid w:val="008B18DE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8B18D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7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71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32A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32A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a8">
    <w:name w:val="Заголовок таблицы"/>
    <w:basedOn w:val="a3"/>
    <w:rsid w:val="003A32A2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9">
    <w:name w:val="Знак Знак9"/>
    <w:basedOn w:val="a"/>
    <w:rsid w:val="003A32A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A32A2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32A2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A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66E1-E1E7-4D57-854D-7938396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Яскевич Анна Игоревна</cp:lastModifiedBy>
  <cp:revision>2</cp:revision>
  <cp:lastPrinted>2019-08-07T03:50:00Z</cp:lastPrinted>
  <dcterms:created xsi:type="dcterms:W3CDTF">2019-08-09T01:24:00Z</dcterms:created>
  <dcterms:modified xsi:type="dcterms:W3CDTF">2019-08-09T01:24:00Z</dcterms:modified>
</cp:coreProperties>
</file>