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61" w:rsidRPr="00D45419" w:rsidRDefault="00C47161" w:rsidP="00C47161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ind w:left="27" w:firstLine="682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D4541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Техническое задание на выполнение работ для обеспечения инвалидов и отдельных категорий граждан из числа ветеранов протезами нижних конечностей</w:t>
      </w:r>
    </w:p>
    <w:p w:rsidR="00C47161" w:rsidRPr="00D45419" w:rsidRDefault="00C47161" w:rsidP="00C47161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01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630"/>
        <w:gridCol w:w="7498"/>
        <w:gridCol w:w="709"/>
      </w:tblGrid>
      <w:tr w:rsidR="00D45419" w:rsidRPr="00D45419" w:rsidTr="00D45419">
        <w:trPr>
          <w:trHeight w:val="12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19" w:rsidRPr="00D45419" w:rsidRDefault="00D45419" w:rsidP="00F47DA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419">
              <w:rPr>
                <w:rFonts w:ascii="Times New Roman" w:hAnsi="Times New Roman" w:cs="Times New Roman"/>
                <w:b/>
                <w:sz w:val="20"/>
              </w:rPr>
              <w:t>Наименование товара (работы, услуги),</w:t>
            </w:r>
          </w:p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19">
              <w:rPr>
                <w:rFonts w:ascii="Times New Roman" w:hAnsi="Times New Roman" w:cs="Times New Roman"/>
                <w:b/>
                <w:sz w:val="20"/>
              </w:rPr>
              <w:t>наименование и код товара, работы, услуги по КТРУ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19">
              <w:rPr>
                <w:rFonts w:ascii="Times New Roman" w:hAnsi="Times New Roman" w:cs="Times New Roman"/>
                <w:b/>
                <w:sz w:val="20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19">
              <w:rPr>
                <w:rFonts w:ascii="Times New Roman" w:hAnsi="Times New Roman" w:cs="Times New Roman"/>
              </w:rPr>
              <w:t xml:space="preserve">Кол-во, (шт.) </w:t>
            </w:r>
          </w:p>
        </w:tc>
      </w:tr>
      <w:tr w:rsidR="00D45419" w:rsidRPr="00D45419" w:rsidTr="00D45419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19">
              <w:rPr>
                <w:rStyle w:val="1"/>
                <w:rFonts w:ascii="Times New Roman" w:hAnsi="Times New Roman" w:cs="Times New Roman"/>
              </w:rPr>
              <w:t>Выполнение работ для обеспечения инвалидов и отдельных категорий граждан из числа ветеранов протезами нижних конечностей</w:t>
            </w:r>
          </w:p>
        </w:tc>
      </w:tr>
      <w:tr w:rsidR="00D45419" w:rsidRPr="00D45419" w:rsidTr="00D45419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 xml:space="preserve">1.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cs="Times New Roman"/>
                <w:color w:val="000000"/>
                <w:sz w:val="21"/>
                <w:szCs w:val="21"/>
                <w:lang w:val="ru-RU" w:eastAsia="ru-RU"/>
              </w:rPr>
            </w:pPr>
            <w:r w:rsidRPr="00D45419">
              <w:rPr>
                <w:rFonts w:cs="Times New Roman"/>
                <w:color w:val="000000"/>
                <w:sz w:val="21"/>
                <w:szCs w:val="21"/>
                <w:lang w:val="ru-RU" w:eastAsia="ru-RU"/>
              </w:rPr>
              <w:t>Протез голени модульный</w:t>
            </w:r>
          </w:p>
          <w:p w:rsidR="00D45419" w:rsidRPr="00D45419" w:rsidRDefault="00D45419" w:rsidP="00F47DA6">
            <w:pPr>
              <w:pStyle w:val="Standard"/>
              <w:snapToGrid w:val="0"/>
              <w:ind w:left="132"/>
              <w:rPr>
                <w:rFonts w:cs="Times New Roman"/>
                <w:sz w:val="21"/>
                <w:szCs w:val="21"/>
              </w:rPr>
            </w:pPr>
          </w:p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cs="Times New Roman"/>
                <w:sz w:val="21"/>
                <w:szCs w:val="21"/>
              </w:rPr>
              <w:t xml:space="preserve">32.50.22.190-00005043 - </w:t>
            </w:r>
            <w:proofErr w:type="spellStart"/>
            <w:r w:rsidRPr="00D45419">
              <w:rPr>
                <w:rFonts w:cs="Times New Roman"/>
                <w:sz w:val="21"/>
                <w:szCs w:val="21"/>
              </w:rPr>
              <w:t>Протез</w:t>
            </w:r>
            <w:proofErr w:type="spellEnd"/>
            <w:r w:rsidRPr="00D4541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D45419">
              <w:rPr>
                <w:rFonts w:cs="Times New Roman"/>
                <w:sz w:val="21"/>
                <w:szCs w:val="21"/>
              </w:rPr>
              <w:t>транстибиальный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8-07-09 Протез голени модульный, в том числе при недоразвитии;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Описание: Протез голени с силиконовым чехлом на короткую и среднюю культю, модульный.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Косметическое покрытие облицовки: чулки ортопедические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силоновые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допускается покрытие защитное плёночное.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Приёмная гильза: индивидуальная (одна пробная гильза).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Вкладной элемент: применяются чехлы полимерные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гелевые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Крепление: использование замка или вакуумной мембраны.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 Регулировочно-соединительные устройства: должны соответствовать весу инвалида. 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10. Стопа: средней степени энергосбережения или стопа модульная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бесшарнирная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опорным вкладным элементом из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углеволокна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пациента со средним уровнем активности.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11. Тип протеза: постоянный.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45419" w:rsidRPr="00D45419" w:rsidTr="00D45419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cs="Times New Roman"/>
                <w:color w:val="000000"/>
                <w:sz w:val="21"/>
                <w:szCs w:val="21"/>
                <w:lang w:val="ru-RU" w:eastAsia="ru-RU"/>
              </w:rPr>
            </w:pPr>
            <w:r w:rsidRPr="00D45419">
              <w:rPr>
                <w:rFonts w:cs="Times New Roman"/>
                <w:color w:val="000000"/>
                <w:sz w:val="21"/>
                <w:szCs w:val="21"/>
                <w:lang w:val="ru-RU" w:eastAsia="ru-RU"/>
              </w:rPr>
              <w:t>Протез голени модульный</w:t>
            </w:r>
          </w:p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cs="Times New Roman"/>
                <w:color w:val="000000"/>
                <w:sz w:val="21"/>
                <w:szCs w:val="21"/>
                <w:lang w:val="ru-RU" w:eastAsia="ru-RU"/>
              </w:rPr>
            </w:pPr>
          </w:p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cs="Times New Roman"/>
                <w:sz w:val="21"/>
                <w:szCs w:val="21"/>
              </w:rPr>
              <w:t xml:space="preserve">32.50.22.190-00005043 - </w:t>
            </w:r>
            <w:proofErr w:type="spellStart"/>
            <w:r w:rsidRPr="00D45419">
              <w:rPr>
                <w:rFonts w:cs="Times New Roman"/>
                <w:sz w:val="21"/>
                <w:szCs w:val="21"/>
              </w:rPr>
              <w:t>Протез</w:t>
            </w:r>
            <w:proofErr w:type="spellEnd"/>
            <w:r w:rsidRPr="00D4541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D45419">
              <w:rPr>
                <w:rFonts w:cs="Times New Roman"/>
                <w:sz w:val="21"/>
                <w:szCs w:val="21"/>
              </w:rPr>
              <w:t>транстибиальный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8-07-09 Протез голени модульный, в том числе при недоразвитии;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Описание: Протез голени с силиконовым чехлом на короткую и среднюю культю, модульный.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Формообразующая часть косметической облицовки: модульная мягкая полиуретановая, листовой поролон или полужёсткая эластичная.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Косметическое покрытие облицовки: чулки ортопедические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силоновые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, допускается покрытие защитное плёночное.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Приёмная гильза: индивидуальная (одна пробная гильза).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Вкладной элемент: применяются чехлы полимерные </w:t>
            </w:r>
            <w:proofErr w:type="spellStart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гелевые</w:t>
            </w:r>
            <w:proofErr w:type="spellEnd"/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Крепление: использование замка или вакуума.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 Регулировочно-соединительные устройства: должны соответствовать весу инвалида.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10. Стопа: высокой степенью энергосбережения или стопа с бесступенчато-регулируемой пациентом высотой каблука.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11.Тип протеза: постоянный.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45419" w:rsidRPr="00D45419" w:rsidTr="00D45419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D45419">
              <w:rPr>
                <w:rFonts w:cs="Times New Roman"/>
                <w:sz w:val="21"/>
                <w:szCs w:val="21"/>
                <w:lang w:val="ru-RU"/>
              </w:rPr>
              <w:t>Протез бедра модульный</w:t>
            </w:r>
          </w:p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  <w:p w:rsidR="00D45419" w:rsidRPr="00D45419" w:rsidRDefault="00D45419" w:rsidP="00F47DA6">
            <w:pPr>
              <w:pStyle w:val="Standard"/>
              <w:snapToGrid w:val="0"/>
              <w:contextualSpacing/>
              <w:jc w:val="center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 xml:space="preserve">32.50.22.190-00005044 Протез </w:t>
            </w:r>
            <w:proofErr w:type="spellStart"/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>трансфеморальный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45419" w:rsidRPr="00D45419" w:rsidRDefault="00D45419" w:rsidP="00D45419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eastAsia="Lucida Sans Unicode" w:hAnsi="Times New Roman" w:cs="Times New Roman"/>
                <w:sz w:val="21"/>
                <w:szCs w:val="21"/>
              </w:rPr>
              <w:t>8-07-10 Протез бедра модульный, в том числе при врожденном недоразвитии;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2. Описание: Протез бедра модульный.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4. Косметическое покрытие облицовки: чулки ортопедические </w:t>
            </w:r>
            <w:proofErr w:type="spellStart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 (одна пара) или </w:t>
            </w:r>
            <w:proofErr w:type="spellStart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силоновые</w:t>
            </w:r>
            <w:proofErr w:type="spellEnd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, допускается покрытие защитное плёночное.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5. Приёмная гильза: унифицированная (без пробных гильз) или индивидуальная (одна пробная гильза).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6. Материал унифицированной постоянной гильзы: слоистый пластик на основе акриловых смол.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7.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8. Крепление протеза: поясное или с использованием бандажа.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9. Регулировочно-соединительные устройства: должны соответствовать весу инвалида.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10. Стопа: средней степенью энергосбережения или стопа модульная </w:t>
            </w:r>
            <w:proofErr w:type="spellStart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бесшарнирная</w:t>
            </w:r>
            <w:proofErr w:type="spellEnd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 с опорным вкладным элементом из </w:t>
            </w:r>
            <w:proofErr w:type="spellStart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углеволокна</w:t>
            </w:r>
            <w:proofErr w:type="spellEnd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 для пациента со средним уровнем активности.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11. Коленный шарнир: одноосный </w:t>
            </w:r>
            <w:proofErr w:type="spellStart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беззамковый</w:t>
            </w:r>
            <w:proofErr w:type="spellEnd"/>
            <w:r w:rsidRPr="00D45419">
              <w:rPr>
                <w:rFonts w:ascii="Times New Roman" w:hAnsi="Times New Roman" w:cs="Times New Roman"/>
                <w:sz w:val="21"/>
                <w:szCs w:val="21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</w:t>
            </w:r>
          </w:p>
          <w:p w:rsidR="00D45419" w:rsidRPr="00D45419" w:rsidRDefault="00D45419" w:rsidP="00D45419">
            <w:pPr>
              <w:ind w:right="132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12. Тип протеза: постоянный.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45419" w:rsidRPr="00D45419" w:rsidTr="00D45419">
        <w:trPr>
          <w:trHeight w:val="24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419" w:rsidRPr="00D45419" w:rsidRDefault="00D45419" w:rsidP="00F47DA6">
            <w:pPr>
              <w:pStyle w:val="Standard"/>
              <w:snapToGrid w:val="0"/>
              <w:contextualSpacing/>
              <w:jc w:val="right"/>
              <w:rPr>
                <w:rFonts w:eastAsia="Arial CYR" w:cs="Times New Roman"/>
                <w:sz w:val="21"/>
                <w:szCs w:val="21"/>
                <w:lang w:val="ru-RU"/>
              </w:rPr>
            </w:pPr>
            <w:r w:rsidRPr="00D45419">
              <w:rPr>
                <w:rFonts w:eastAsia="Arial CYR" w:cs="Times New Roman"/>
                <w:sz w:val="21"/>
                <w:szCs w:val="21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5419" w:rsidRPr="00D45419" w:rsidRDefault="00D45419" w:rsidP="00F47DA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419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</w:tr>
    </w:tbl>
    <w:p w:rsidR="00C47161" w:rsidRPr="00D45419" w:rsidRDefault="00C47161" w:rsidP="00C47161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Cs/>
          <w:kern w:val="3"/>
          <w:lang w:eastAsia="ru-RU"/>
        </w:rPr>
      </w:pPr>
    </w:p>
    <w:p w:rsidR="00C47161" w:rsidRPr="00D45419" w:rsidRDefault="00C47161" w:rsidP="00C47161">
      <w:pPr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lang w:eastAsia="ar-SA"/>
        </w:rPr>
        <w:t>Требования к качеству работ</w:t>
      </w:r>
    </w:p>
    <w:p w:rsidR="00C47161" w:rsidRPr="00D45419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D4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9999-2014 </w:t>
      </w: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а также соответствовать </w:t>
      </w:r>
      <w:r w:rsidR="00237D78"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Государственн</w:t>
      </w:r>
      <w:r w:rsidR="00237D78"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ому</w:t>
      </w:r>
      <w:r w:rsidR="00237D78"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стандарт</w:t>
      </w:r>
      <w:r w:rsidR="00237D78"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</w:t>
      </w:r>
      <w:r w:rsidR="00237D78"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Российской Федерации</w:t>
      </w:r>
      <w:r w:rsidRP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«Изделия протезно-ортопедические. Общие технические требования».</w:t>
      </w: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Терминология и определения должна отвечать требованиям Государственного стандарта Российской Федерации ГОСТ Р 51819-20</w:t>
      </w:r>
      <w:r w:rsidR="00237D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17</w:t>
      </w: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«Протезирование и </w:t>
      </w:r>
      <w:proofErr w:type="spellStart"/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ортезирование</w:t>
      </w:r>
      <w:proofErr w:type="spellEnd"/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верхних и нижних конечностей»</w:t>
      </w:r>
    </w:p>
    <w:p w:rsidR="00C47161" w:rsidRPr="00D45419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47161" w:rsidRPr="00D45419" w:rsidRDefault="00C47161" w:rsidP="00914297">
      <w:pPr>
        <w:shd w:val="clear" w:color="auto" w:fill="FFFFFF"/>
        <w:autoSpaceDE w:val="0"/>
        <w:spacing w:after="0" w:line="240" w:lineRule="auto"/>
        <w:ind w:firstLine="579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C47161" w:rsidRPr="00D45419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47161" w:rsidRPr="00D45419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Приемная гильза протеза конечности</w:t>
      </w: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45419" w:rsidRPr="00D45419" w:rsidRDefault="00D45419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47161" w:rsidRPr="00D45419" w:rsidRDefault="00C47161" w:rsidP="00914297">
      <w:pPr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безопасности работ</w:t>
      </w: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Проведение работ по обеспечению инвалидов и отдельных категорий граждан из числа ветеранов протезами нижних конечностей осуществляется при наличии:</w:t>
      </w:r>
    </w:p>
    <w:p w:rsidR="00C47161" w:rsidRPr="00D45419" w:rsidRDefault="00C47161" w:rsidP="00C471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 соответствии продукции требованиям технических регламентов.</w:t>
      </w:r>
    </w:p>
    <w:p w:rsidR="00914297" w:rsidRPr="00D45419" w:rsidRDefault="00914297" w:rsidP="00C47161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результатам работ</w:t>
      </w: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914297" w:rsidRPr="00D45419" w:rsidRDefault="00914297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размерам, упаковке и отгрузке результатов работ</w:t>
      </w: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88)/</w:t>
      </w:r>
      <w:proofErr w:type="gramEnd"/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D45419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</w:t>
      </w:r>
      <w:r w:rsidRPr="00D45419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срокам и (или) объему предоставления гарантии качества работ</w:t>
      </w:r>
    </w:p>
    <w:p w:rsidR="00C47161" w:rsidRPr="00D45419" w:rsidRDefault="00C47161" w:rsidP="00C47161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Гарантийный срок на протезы устанавливается со дня выдачи готового изделия в эксплуатацию </w:t>
      </w:r>
      <w:r w:rsidR="007D4B5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 составляет</w:t>
      </w:r>
      <w:bookmarkStart w:id="0" w:name="_GoBack"/>
      <w:bookmarkEnd w:id="0"/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C47161" w:rsidRPr="00D45419" w:rsidRDefault="00C47161" w:rsidP="00C47161">
      <w:pPr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протезы голени— не менее 7 месяцев.</w:t>
      </w:r>
    </w:p>
    <w:p w:rsidR="00914297" w:rsidRPr="00D45419" w:rsidRDefault="00914297" w:rsidP="00C47161">
      <w:pPr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протезы бедра — не менее 7 месяцев</w:t>
      </w:r>
    </w:p>
    <w:p w:rsidR="00C47161" w:rsidRPr="00D45419" w:rsidRDefault="00C47161" w:rsidP="00C47161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C47161" w:rsidRPr="00D45419" w:rsidRDefault="00C47161" w:rsidP="00C47161">
      <w:pPr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4541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Место, условия и сроки (периоды) выполнения работ</w:t>
      </w:r>
    </w:p>
    <w:p w:rsidR="00C47161" w:rsidRPr="00D45419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45419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Изготовление </w:t>
      </w:r>
      <w:r w:rsidRPr="00D4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по меркам инвалида</w:t>
      </w:r>
      <w:r w:rsidRPr="00D45419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. </w:t>
      </w:r>
      <w:r w:rsidRPr="00D4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работ </w:t>
      </w:r>
      <w:r w:rsidRPr="00D45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D454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–Ивановская область</w:t>
      </w:r>
      <w:r w:rsidRPr="00D4541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47161" w:rsidRPr="00D45419" w:rsidRDefault="00C47161" w:rsidP="00C4716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D4541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Срок выполнения Работ по изготовлению протезов со дня обращения инвалида (ветерана) на предприятие по направлению исполнительного органа Фонда не более 30 дней.</w:t>
      </w:r>
    </w:p>
    <w:sectPr w:rsidR="00C47161" w:rsidRPr="00D45419" w:rsidSect="00C471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1"/>
    <w:rsid w:val="00237D78"/>
    <w:rsid w:val="007D4B5E"/>
    <w:rsid w:val="00914297"/>
    <w:rsid w:val="00C47161"/>
    <w:rsid w:val="00D23629"/>
    <w:rsid w:val="00D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6250-98A6-4067-8FBF-C54B6C3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419"/>
  </w:style>
  <w:style w:type="paragraph" w:customStyle="1" w:styleId="Standard">
    <w:name w:val="Standard"/>
    <w:uiPriority w:val="99"/>
    <w:rsid w:val="00D4541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4</cp:revision>
  <dcterms:created xsi:type="dcterms:W3CDTF">2018-12-19T13:40:00Z</dcterms:created>
  <dcterms:modified xsi:type="dcterms:W3CDTF">2019-07-04T12:54:00Z</dcterms:modified>
</cp:coreProperties>
</file>