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39" w:rsidRPr="00B824C7" w:rsidRDefault="004B4439" w:rsidP="00B824C7">
      <w:pPr>
        <w:ind w:left="720"/>
        <w:jc w:val="center"/>
        <w:rPr>
          <w:b/>
          <w:bCs/>
          <w:sz w:val="24"/>
          <w:szCs w:val="24"/>
        </w:rPr>
      </w:pPr>
      <w:r w:rsidRPr="00B824C7">
        <w:rPr>
          <w:b/>
          <w:bCs/>
          <w:sz w:val="24"/>
          <w:szCs w:val="24"/>
        </w:rPr>
        <w:t>ТЕХНИЧЕСКОЕ ЗАДАНИЕ</w:t>
      </w:r>
    </w:p>
    <w:p w:rsidR="00B67531" w:rsidRDefault="00975D00" w:rsidP="004B4439">
      <w:pPr>
        <w:jc w:val="center"/>
        <w:rPr>
          <w:b/>
          <w:sz w:val="24"/>
          <w:szCs w:val="24"/>
        </w:rPr>
      </w:pPr>
      <w:r w:rsidRPr="00975D00">
        <w:rPr>
          <w:b/>
          <w:sz w:val="24"/>
          <w:szCs w:val="24"/>
        </w:rPr>
        <w:t>Поставка ходунков, изготавливаемых по индивидуальному заказу</w:t>
      </w:r>
    </w:p>
    <w:p w:rsidR="00975D00" w:rsidRDefault="00975D00" w:rsidP="004B4439">
      <w:pPr>
        <w:jc w:val="center"/>
        <w:rPr>
          <w:b/>
          <w:sz w:val="24"/>
          <w:szCs w:val="24"/>
        </w:rPr>
      </w:pPr>
    </w:p>
    <w:p w:rsidR="00975D00" w:rsidRDefault="00975D00" w:rsidP="00975D00">
      <w:pPr>
        <w:jc w:val="both"/>
        <w:rPr>
          <w:b/>
          <w:sz w:val="24"/>
          <w:szCs w:val="24"/>
        </w:rPr>
      </w:pPr>
      <w:r w:rsidRPr="00674879">
        <w:rPr>
          <w:b/>
          <w:bCs/>
          <w:color w:val="000000"/>
          <w:sz w:val="24"/>
          <w:szCs w:val="24"/>
        </w:rPr>
        <w:t>Наименование и описание объекта закупки</w:t>
      </w:r>
    </w:p>
    <w:p w:rsidR="00975D00" w:rsidRPr="002811BE" w:rsidRDefault="00975D00" w:rsidP="00975D00">
      <w:pPr>
        <w:spacing w:line="240" w:lineRule="auto"/>
      </w:pPr>
      <w:r>
        <w:rPr>
          <w:sz w:val="24"/>
          <w:szCs w:val="24"/>
        </w:rPr>
        <w:t>Ходунки</w:t>
      </w:r>
      <w:r w:rsidRPr="00CF5B64">
        <w:rPr>
          <w:sz w:val="24"/>
          <w:szCs w:val="24"/>
        </w:rPr>
        <w:t>, изготавливаемы</w:t>
      </w:r>
      <w:r>
        <w:rPr>
          <w:sz w:val="24"/>
          <w:szCs w:val="24"/>
        </w:rPr>
        <w:t>е</w:t>
      </w:r>
      <w:r w:rsidRPr="00CF5B64">
        <w:rPr>
          <w:sz w:val="24"/>
          <w:szCs w:val="24"/>
        </w:rPr>
        <w:t xml:space="preserve"> по индивидуально</w:t>
      </w:r>
      <w:r>
        <w:rPr>
          <w:sz w:val="24"/>
          <w:szCs w:val="24"/>
        </w:rPr>
        <w:t>му</w:t>
      </w:r>
      <w:r w:rsidRPr="00CF5B64">
        <w:rPr>
          <w:sz w:val="24"/>
          <w:szCs w:val="24"/>
        </w:rPr>
        <w:t xml:space="preserve"> заказу </w:t>
      </w:r>
      <w:r w:rsidRPr="00D826D8">
        <w:rPr>
          <w:sz w:val="24"/>
          <w:szCs w:val="24"/>
        </w:rPr>
        <w:t>(</w:t>
      </w:r>
      <w:r>
        <w:t>далее – ТСР, ходунки</w:t>
      </w:r>
      <w:r w:rsidRPr="0045291D">
        <w:t xml:space="preserve"> соответственно)</w:t>
      </w:r>
      <w:r w:rsidRPr="002811BE">
        <w:t xml:space="preserve"> для</w:t>
      </w:r>
      <w:r>
        <w:t xml:space="preserve"> детей-инвалидо</w:t>
      </w:r>
      <w:r w:rsidRPr="00D826D8">
        <w:rPr>
          <w:sz w:val="24"/>
          <w:szCs w:val="24"/>
        </w:rPr>
        <w:t>в</w:t>
      </w:r>
      <w:r>
        <w:rPr>
          <w:sz w:val="24"/>
          <w:szCs w:val="24"/>
        </w:rPr>
        <w:t>, инвалидов</w:t>
      </w:r>
      <w:proofErr w:type="gramStart"/>
      <w:r>
        <w:rPr>
          <w:sz w:val="24"/>
          <w:szCs w:val="24"/>
        </w:rPr>
        <w:t xml:space="preserve"> </w:t>
      </w:r>
      <w:r w:rsidRPr="00D826D8">
        <w:rPr>
          <w:sz w:val="24"/>
          <w:szCs w:val="24"/>
        </w:rPr>
        <w:t>,</w:t>
      </w:r>
      <w:proofErr w:type="gramEnd"/>
      <w:r w:rsidRPr="00D82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предназначены </w:t>
      </w:r>
      <w:r>
        <w:t xml:space="preserve">для постепенной адаптации пациентов, находящихся в положении лежа, в положение стоя,  </w:t>
      </w:r>
      <w:r w:rsidRPr="008D013C">
        <w:t>обеспечивает оптимальную поддержку стоп, коленей и бедер</w:t>
      </w:r>
      <w:r>
        <w:t>.</w:t>
      </w:r>
    </w:p>
    <w:p w:rsidR="00975D00" w:rsidRPr="002811BE" w:rsidRDefault="00975D00" w:rsidP="00975D00">
      <w:pPr>
        <w:spacing w:line="240" w:lineRule="auto"/>
        <w:jc w:val="both"/>
        <w:rPr>
          <w:sz w:val="24"/>
          <w:szCs w:val="24"/>
        </w:rPr>
      </w:pPr>
      <w:r w:rsidRPr="002811BE">
        <w:rPr>
          <w:sz w:val="24"/>
          <w:szCs w:val="24"/>
        </w:rPr>
        <w:t xml:space="preserve">Общее </w:t>
      </w:r>
      <w:r>
        <w:rPr>
          <w:sz w:val="24"/>
          <w:szCs w:val="24"/>
        </w:rPr>
        <w:t xml:space="preserve">количество поставляемого товара – </w:t>
      </w:r>
      <w:r w:rsidRPr="00297DF1">
        <w:rPr>
          <w:b/>
          <w:sz w:val="24"/>
          <w:szCs w:val="24"/>
        </w:rPr>
        <w:t>14 шт.</w:t>
      </w:r>
    </w:p>
    <w:p w:rsidR="00975D00" w:rsidRPr="002811BE" w:rsidRDefault="00975D00" w:rsidP="00975D00">
      <w:pPr>
        <w:spacing w:line="240" w:lineRule="auto"/>
        <w:jc w:val="both"/>
        <w:rPr>
          <w:sz w:val="8"/>
          <w:szCs w:val="8"/>
        </w:rPr>
      </w:pPr>
    </w:p>
    <w:p w:rsidR="00975D00" w:rsidRPr="00C51EC1" w:rsidRDefault="00975D00" w:rsidP="00975D00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C51EC1">
        <w:rPr>
          <w:b/>
          <w:bCs/>
          <w:color w:val="000000"/>
          <w:sz w:val="24"/>
          <w:szCs w:val="24"/>
        </w:rPr>
        <w:t>Ходунки, изготавливаемые по индивидуальному заказу</w:t>
      </w:r>
      <w:r>
        <w:rPr>
          <w:b/>
          <w:bCs/>
          <w:color w:val="000000"/>
          <w:sz w:val="24"/>
          <w:szCs w:val="24"/>
        </w:rPr>
        <w:t xml:space="preserve"> – 4 шт</w:t>
      </w:r>
      <w:r w:rsidRPr="00C51EC1">
        <w:rPr>
          <w:b/>
          <w:bCs/>
          <w:color w:val="000000"/>
          <w:sz w:val="24"/>
          <w:szCs w:val="24"/>
        </w:rPr>
        <w:t>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Рама - металлическая с порошковым покрытием, складная, регулируемая по высоте.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Фиксатор грудной клетки – мягкий, регулируемый по высоте, углу крепления и объему.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Фиксатор предплечья - регулируемые по высоте, ротации, углу.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Рукоятки – нескользящие, регулируемые по высоте и углу наклона.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Фиксатор таза - мягкий, регулируемый по высоте.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Фиксатор бедер – регулируемый по горизонтали и вертикали.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 xml:space="preserve">Фиксатор голеностопов - </w:t>
      </w:r>
      <w:proofErr w:type="gramStart"/>
      <w:r w:rsidRPr="0024480A">
        <w:t>мягкие</w:t>
      </w:r>
      <w:proofErr w:type="gramEnd"/>
      <w:r w:rsidRPr="0024480A">
        <w:t>, регулируемые по длине шага и расстоянию между голеностопами.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Оснащение колесами - 4 колеса, задние колеса с индивидуальными тормозами.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Рост пользователя в диапазоне - от 100 см до 140 см.</w:t>
      </w:r>
    </w:p>
    <w:p w:rsidR="00975D00" w:rsidRPr="0024480A" w:rsidRDefault="00975D00" w:rsidP="00975D00">
      <w:pPr>
        <w:keepNext/>
        <w:tabs>
          <w:tab w:val="left" w:pos="555"/>
        </w:tabs>
        <w:spacing w:line="240" w:lineRule="auto"/>
        <w:jc w:val="both"/>
      </w:pPr>
      <w:r w:rsidRPr="0024480A">
        <w:t>Максимальный вес пользователя – не менее 68 кг.</w:t>
      </w:r>
    </w:p>
    <w:p w:rsidR="00975D00" w:rsidRDefault="00975D00" w:rsidP="00975D00">
      <w:pPr>
        <w:spacing w:line="240" w:lineRule="auto"/>
        <w:jc w:val="both"/>
      </w:pPr>
      <w:r w:rsidRPr="0024480A">
        <w:t>Вес ходунков – не более 17,0 кг.</w:t>
      </w:r>
    </w:p>
    <w:p w:rsidR="00975D00" w:rsidRPr="0024480A" w:rsidRDefault="00975D00" w:rsidP="00975D00">
      <w:pPr>
        <w:spacing w:line="240" w:lineRule="auto"/>
        <w:jc w:val="both"/>
      </w:pPr>
    </w:p>
    <w:p w:rsidR="00975D00" w:rsidRPr="0024480A" w:rsidRDefault="00975D00" w:rsidP="00975D00">
      <w:pPr>
        <w:spacing w:line="240" w:lineRule="auto"/>
        <w:jc w:val="both"/>
        <w:rPr>
          <w:b/>
        </w:rPr>
      </w:pPr>
      <w:r w:rsidRPr="0024480A">
        <w:rPr>
          <w:b/>
        </w:rPr>
        <w:t xml:space="preserve">Ходунки, изготавливаемые по индивидуальному заказу – </w:t>
      </w:r>
      <w:r>
        <w:rPr>
          <w:b/>
        </w:rPr>
        <w:t>10</w:t>
      </w:r>
      <w:r w:rsidRPr="0024480A">
        <w:rPr>
          <w:b/>
        </w:rPr>
        <w:t xml:space="preserve"> шт.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Рама - металлическая с порошковым покрытием, складная, регулируемая по высоте.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Фиксатор грудной клетки – мягкий, регулируемый по высоте, углу крепления и объему.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Фиксатор предплечья - регулируемые по высоте, ротации, углу.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Рукоятки – нескользящие, регулируемые по высоте и углу наклона.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Фиксатор таза - мягкий, регулируемый по высоте.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Фиксатор бедер – регулируемый по горизонтали и вертикали.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 xml:space="preserve">Фиксатор голеностопов - </w:t>
      </w:r>
      <w:proofErr w:type="gramStart"/>
      <w:r w:rsidRPr="0024480A">
        <w:t>мягкие</w:t>
      </w:r>
      <w:proofErr w:type="gramEnd"/>
      <w:r w:rsidRPr="0024480A">
        <w:t>, регулируемые по длине шага и расстоянию между голеностопами.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Оснащение колесами - 4 колеса, задние колеса с индивидуальными тормозами.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Рост пользователя в диапазоне - от 130 см до 195 см.</w:t>
      </w:r>
    </w:p>
    <w:p w:rsidR="00975D00" w:rsidRPr="0024480A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Максимальный вес пользователя – не менее 91 кг.</w:t>
      </w:r>
    </w:p>
    <w:p w:rsidR="00975D00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  <w:r w:rsidRPr="0024480A">
        <w:t>Вес ходунков – не более 18,5 кг.</w:t>
      </w:r>
    </w:p>
    <w:p w:rsidR="00975D00" w:rsidRPr="00C51EC1" w:rsidRDefault="00975D00" w:rsidP="00975D00">
      <w:pPr>
        <w:keepNext/>
        <w:widowControl/>
        <w:tabs>
          <w:tab w:val="left" w:pos="555"/>
        </w:tabs>
        <w:spacing w:line="240" w:lineRule="auto"/>
        <w:jc w:val="both"/>
      </w:pPr>
    </w:p>
    <w:p w:rsidR="00975D00" w:rsidRDefault="00975D00" w:rsidP="00975D00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E806B0">
        <w:rPr>
          <w:b/>
          <w:color w:val="000000"/>
          <w:sz w:val="24"/>
          <w:szCs w:val="24"/>
        </w:rPr>
        <w:t>Место поставки:</w:t>
      </w:r>
    </w:p>
    <w:p w:rsidR="00975D00" w:rsidRDefault="00975D00" w:rsidP="00975D0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049C">
        <w:rPr>
          <w:sz w:val="24"/>
          <w:szCs w:val="24"/>
          <w:highlight w:val="yellow"/>
        </w:rPr>
        <w:t xml:space="preserve">Поставка по месту жительства Получателя. В случае невозможности адресной поставки </w:t>
      </w:r>
      <w:r>
        <w:rPr>
          <w:sz w:val="24"/>
          <w:szCs w:val="24"/>
          <w:highlight w:val="yellow"/>
        </w:rPr>
        <w:t xml:space="preserve">товар выдается </w:t>
      </w:r>
      <w:r w:rsidRPr="00F3049C">
        <w:rPr>
          <w:sz w:val="24"/>
          <w:szCs w:val="24"/>
          <w:highlight w:val="yellow"/>
        </w:rPr>
        <w:t xml:space="preserve">в </w:t>
      </w:r>
      <w:r w:rsidRPr="00F3049C">
        <w:rPr>
          <w:b/>
          <w:sz w:val="24"/>
          <w:szCs w:val="24"/>
          <w:highlight w:val="yellow"/>
        </w:rPr>
        <w:t>стационарном пункте выдачи – помещении с беспрепятственным доступом и местом для оформления документов</w:t>
      </w:r>
      <w:r w:rsidRPr="00F3049C">
        <w:rPr>
          <w:sz w:val="24"/>
          <w:szCs w:val="24"/>
          <w:highlight w:val="yellow"/>
        </w:rPr>
        <w:t>, организованном</w:t>
      </w:r>
      <w:r>
        <w:rPr>
          <w:sz w:val="24"/>
          <w:szCs w:val="24"/>
          <w:highlight w:val="yellow"/>
        </w:rPr>
        <w:t xml:space="preserve"> Поставщиком</w:t>
      </w:r>
      <w:r w:rsidRPr="00BB3412">
        <w:rPr>
          <w:sz w:val="24"/>
          <w:szCs w:val="24"/>
          <w:highlight w:val="yellow"/>
        </w:rPr>
        <w:t>.</w:t>
      </w:r>
      <w:r w:rsidRPr="00EF54B9">
        <w:rPr>
          <w:sz w:val="24"/>
          <w:szCs w:val="24"/>
        </w:rPr>
        <w:t xml:space="preserve"> </w:t>
      </w:r>
    </w:p>
    <w:p w:rsidR="00975D00" w:rsidRPr="00EF54B9" w:rsidRDefault="00975D00" w:rsidP="00975D00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975D00" w:rsidRPr="00E806B0" w:rsidRDefault="00975D00" w:rsidP="00975D00">
      <w:pPr>
        <w:spacing w:line="240" w:lineRule="auto"/>
        <w:jc w:val="both"/>
        <w:rPr>
          <w:color w:val="000000"/>
          <w:sz w:val="24"/>
          <w:szCs w:val="24"/>
        </w:rPr>
      </w:pPr>
      <w:r w:rsidRPr="00E806B0">
        <w:rPr>
          <w:b/>
          <w:color w:val="000000"/>
          <w:sz w:val="24"/>
          <w:szCs w:val="24"/>
        </w:rPr>
        <w:t>Срок поставки</w:t>
      </w:r>
      <w:r w:rsidRPr="00E806B0">
        <w:rPr>
          <w:color w:val="000000"/>
          <w:sz w:val="24"/>
          <w:szCs w:val="24"/>
        </w:rPr>
        <w:t>:</w:t>
      </w:r>
    </w:p>
    <w:p w:rsidR="00975D00" w:rsidRPr="00406821" w:rsidRDefault="00975D00" w:rsidP="00975D00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406821">
        <w:rPr>
          <w:color w:val="000000"/>
          <w:sz w:val="24"/>
          <w:szCs w:val="24"/>
        </w:rPr>
        <w:t xml:space="preserve">- с момента заключения государственного контракта по </w:t>
      </w:r>
      <w:r w:rsidRPr="00406821">
        <w:rPr>
          <w:b/>
          <w:color w:val="000000"/>
          <w:sz w:val="24"/>
          <w:szCs w:val="24"/>
        </w:rPr>
        <w:t>30 ноября 2019 года</w:t>
      </w:r>
      <w:r w:rsidRPr="00406821">
        <w:rPr>
          <w:color w:val="000000"/>
          <w:sz w:val="24"/>
          <w:szCs w:val="24"/>
        </w:rPr>
        <w:t>;</w:t>
      </w:r>
    </w:p>
    <w:p w:rsidR="00975D00" w:rsidRDefault="00975D00" w:rsidP="00975D00">
      <w:pPr>
        <w:spacing w:line="240" w:lineRule="auto"/>
        <w:jc w:val="both"/>
        <w:rPr>
          <w:sz w:val="24"/>
          <w:szCs w:val="24"/>
        </w:rPr>
      </w:pPr>
      <w:r w:rsidRPr="00406821">
        <w:rPr>
          <w:color w:val="000000"/>
          <w:sz w:val="24"/>
          <w:szCs w:val="24"/>
        </w:rPr>
        <w:t xml:space="preserve">- </w:t>
      </w:r>
      <w:r w:rsidRPr="00AC7462">
        <w:rPr>
          <w:color w:val="000000"/>
          <w:sz w:val="24"/>
          <w:szCs w:val="24"/>
          <w:highlight w:val="yellow"/>
        </w:rPr>
        <w:t xml:space="preserve">в течение </w:t>
      </w:r>
      <w:r w:rsidRPr="00AC7462">
        <w:rPr>
          <w:b/>
          <w:color w:val="000000"/>
          <w:sz w:val="24"/>
          <w:szCs w:val="24"/>
          <w:highlight w:val="yellow"/>
        </w:rPr>
        <w:t>2</w:t>
      </w:r>
      <w:r>
        <w:rPr>
          <w:b/>
          <w:color w:val="000000"/>
          <w:sz w:val="24"/>
          <w:szCs w:val="24"/>
          <w:highlight w:val="yellow"/>
        </w:rPr>
        <w:t>0</w:t>
      </w:r>
      <w:r w:rsidRPr="00AC7462">
        <w:rPr>
          <w:color w:val="000000"/>
          <w:sz w:val="24"/>
          <w:szCs w:val="24"/>
          <w:highlight w:val="yellow"/>
        </w:rPr>
        <w:t xml:space="preserve"> </w:t>
      </w:r>
      <w:r w:rsidRPr="00AC7462">
        <w:rPr>
          <w:b/>
          <w:color w:val="000000"/>
          <w:sz w:val="24"/>
          <w:szCs w:val="24"/>
          <w:highlight w:val="yellow"/>
        </w:rPr>
        <w:t>(двадцати)</w:t>
      </w:r>
      <w:r w:rsidRPr="00AC7462">
        <w:rPr>
          <w:color w:val="000000"/>
          <w:highlight w:val="yellow"/>
        </w:rPr>
        <w:t xml:space="preserve"> </w:t>
      </w:r>
      <w:r w:rsidRPr="00AC7462">
        <w:rPr>
          <w:b/>
          <w:color w:val="000000"/>
          <w:sz w:val="24"/>
          <w:szCs w:val="24"/>
          <w:highlight w:val="yellow"/>
        </w:rPr>
        <w:t xml:space="preserve">дней, а для инвалида, нуждающегося в оказании </w:t>
      </w:r>
      <w:r>
        <w:rPr>
          <w:b/>
          <w:color w:val="000000"/>
          <w:sz w:val="24"/>
          <w:szCs w:val="24"/>
          <w:highlight w:val="yellow"/>
        </w:rPr>
        <w:t>паллиативной медицинской помощи</w:t>
      </w:r>
      <w:r w:rsidRPr="00AC7462">
        <w:rPr>
          <w:b/>
          <w:color w:val="000000"/>
          <w:sz w:val="24"/>
          <w:szCs w:val="24"/>
          <w:highlight w:val="yellow"/>
        </w:rPr>
        <w:t>, в течение 7 (семи) дней</w:t>
      </w:r>
      <w:r w:rsidRPr="00AC7462">
        <w:rPr>
          <w:color w:val="000000"/>
          <w:sz w:val="24"/>
          <w:szCs w:val="24"/>
          <w:highlight w:val="yellow"/>
        </w:rPr>
        <w:t xml:space="preserve"> с момента предоставления Получателем именного Направления </w:t>
      </w:r>
      <w:r w:rsidRPr="00AC7462">
        <w:rPr>
          <w:b/>
          <w:sz w:val="24"/>
          <w:szCs w:val="24"/>
          <w:highlight w:val="yellow"/>
        </w:rPr>
        <w:t>(при наличии заявления Получателя)</w:t>
      </w:r>
      <w:r w:rsidRPr="00AC7462">
        <w:rPr>
          <w:b/>
          <w:color w:val="000000"/>
          <w:sz w:val="24"/>
          <w:szCs w:val="24"/>
          <w:highlight w:val="yellow"/>
        </w:rPr>
        <w:t>,</w:t>
      </w:r>
      <w:r w:rsidRPr="00AC7462">
        <w:rPr>
          <w:color w:val="000000"/>
          <w:sz w:val="24"/>
          <w:szCs w:val="24"/>
          <w:highlight w:val="yellow"/>
        </w:rPr>
        <w:t xml:space="preserve"> выданного Заказчиком (письменного решения Заказчика, выдаваемого Получателю) или реестра Получателей, сформированного Заказчиком и переданного Поставщику</w:t>
      </w:r>
      <w:r w:rsidRPr="00AC7462">
        <w:rPr>
          <w:sz w:val="24"/>
          <w:szCs w:val="24"/>
          <w:highlight w:val="yellow"/>
        </w:rPr>
        <w:t xml:space="preserve"> (его представителю).</w:t>
      </w:r>
    </w:p>
    <w:p w:rsidR="00975D00" w:rsidRDefault="00975D00" w:rsidP="00975D00">
      <w:pPr>
        <w:jc w:val="both"/>
        <w:rPr>
          <w:b/>
          <w:sz w:val="24"/>
          <w:szCs w:val="24"/>
        </w:rPr>
      </w:pPr>
    </w:p>
    <w:p w:rsidR="00975D00" w:rsidRPr="002811BE" w:rsidRDefault="00975D00" w:rsidP="00975D00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2811BE">
        <w:rPr>
          <w:b/>
          <w:sz w:val="24"/>
          <w:szCs w:val="24"/>
        </w:rPr>
        <w:t>Гарантийные требования:</w:t>
      </w:r>
    </w:p>
    <w:p w:rsidR="00975D00" w:rsidRDefault="00975D00" w:rsidP="00975D00">
      <w:pPr>
        <w:spacing w:line="240" w:lineRule="auto"/>
        <w:jc w:val="both"/>
        <w:rPr>
          <w:sz w:val="24"/>
          <w:szCs w:val="24"/>
        </w:rPr>
      </w:pPr>
      <w:r w:rsidRPr="00A44FEC">
        <w:rPr>
          <w:sz w:val="24"/>
          <w:szCs w:val="24"/>
        </w:rPr>
        <w:t xml:space="preserve">ТСР должно иметь установленный </w:t>
      </w:r>
      <w:r>
        <w:rPr>
          <w:sz w:val="24"/>
          <w:szCs w:val="24"/>
        </w:rPr>
        <w:t>производи</w:t>
      </w:r>
      <w:r w:rsidRPr="00A44FEC">
        <w:rPr>
          <w:sz w:val="24"/>
          <w:szCs w:val="24"/>
        </w:rPr>
        <w:t xml:space="preserve">телем срок службы с момента передачи его Получателю не менее срока пользования </w:t>
      </w:r>
      <w:r>
        <w:rPr>
          <w:sz w:val="24"/>
          <w:szCs w:val="24"/>
        </w:rPr>
        <w:t>ТСР.</w:t>
      </w:r>
    </w:p>
    <w:p w:rsidR="00975D00" w:rsidRPr="00E806B0" w:rsidRDefault="00975D00" w:rsidP="00975D00">
      <w:pPr>
        <w:spacing w:line="240" w:lineRule="auto"/>
        <w:jc w:val="both"/>
        <w:rPr>
          <w:sz w:val="24"/>
          <w:szCs w:val="24"/>
        </w:rPr>
      </w:pPr>
      <w:r w:rsidRPr="00E806B0">
        <w:rPr>
          <w:sz w:val="24"/>
          <w:szCs w:val="24"/>
        </w:rPr>
        <w:t xml:space="preserve">Гарантийный срок устанавливается производителем (поставщиком) ТСР и должен составлять </w:t>
      </w:r>
      <w:bookmarkStart w:id="0" w:name="_GoBack"/>
      <w:bookmarkEnd w:id="0"/>
      <w:r w:rsidRPr="00E806B0">
        <w:rPr>
          <w:sz w:val="24"/>
          <w:szCs w:val="24"/>
        </w:rPr>
        <w:t>12 месяцев со дня подписания Получателем акта приема-передачи.</w:t>
      </w:r>
    </w:p>
    <w:p w:rsidR="00975D00" w:rsidRPr="00E806B0" w:rsidRDefault="00975D00" w:rsidP="00975D00">
      <w:pPr>
        <w:spacing w:line="240" w:lineRule="auto"/>
        <w:jc w:val="both"/>
        <w:rPr>
          <w:sz w:val="24"/>
          <w:szCs w:val="24"/>
        </w:rPr>
      </w:pPr>
      <w:r w:rsidRPr="00E806B0">
        <w:rPr>
          <w:sz w:val="24"/>
          <w:szCs w:val="24"/>
        </w:rPr>
        <w:t xml:space="preserve">Гарантийный срок ТСР указывается Поставщиком в гарантийном талоне на ТСР и заверяется </w:t>
      </w:r>
      <w:r w:rsidRPr="00E806B0">
        <w:rPr>
          <w:sz w:val="24"/>
          <w:szCs w:val="24"/>
        </w:rPr>
        <w:lastRenderedPageBreak/>
        <w:t>печатью Поставщика.</w:t>
      </w:r>
    </w:p>
    <w:p w:rsidR="00975D00" w:rsidRPr="00E806B0" w:rsidRDefault="00975D00" w:rsidP="00975D00">
      <w:pPr>
        <w:spacing w:line="240" w:lineRule="auto"/>
        <w:jc w:val="both"/>
        <w:rPr>
          <w:sz w:val="24"/>
          <w:szCs w:val="24"/>
        </w:rPr>
      </w:pPr>
      <w:r w:rsidRPr="00E806B0">
        <w:rPr>
          <w:sz w:val="24"/>
          <w:szCs w:val="24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975D00" w:rsidRPr="00E806B0" w:rsidRDefault="00975D00" w:rsidP="00975D00">
      <w:pPr>
        <w:spacing w:line="240" w:lineRule="auto"/>
        <w:jc w:val="both"/>
        <w:rPr>
          <w:sz w:val="24"/>
          <w:szCs w:val="24"/>
        </w:rPr>
      </w:pPr>
      <w:r w:rsidRPr="00E806B0">
        <w:rPr>
          <w:sz w:val="24"/>
          <w:szCs w:val="24"/>
        </w:rPr>
        <w:t xml:space="preserve">Гарантийное обслуживание ТСР осуществляется Поставщиком в течение гарантийного срока. </w:t>
      </w:r>
    </w:p>
    <w:p w:rsidR="00975D00" w:rsidRPr="00E806B0" w:rsidRDefault="00975D00" w:rsidP="00975D00">
      <w:pPr>
        <w:spacing w:line="240" w:lineRule="auto"/>
        <w:jc w:val="both"/>
        <w:rPr>
          <w:sz w:val="24"/>
          <w:szCs w:val="24"/>
        </w:rPr>
      </w:pPr>
      <w:r w:rsidRPr="00E806B0">
        <w:rPr>
          <w:sz w:val="24"/>
          <w:szCs w:val="24"/>
        </w:rPr>
        <w:t>Гарантийный ремонт осуществляется Поставщиком бесплатно в течение 10 дней с момента получения от Получателя или Заказчика уведомления с требованием осуществления гарантийного обслуживания. В случае невозможности осуществить гарантийное обслуживание (ремонт) ТСР в указанный срок Поставщик передает Получателю эквивалент товара на период осуществления гарантийного обслуживания.</w:t>
      </w:r>
    </w:p>
    <w:p w:rsidR="00975D00" w:rsidRPr="00E806B0" w:rsidRDefault="00975D00" w:rsidP="00975D00">
      <w:pPr>
        <w:spacing w:line="240" w:lineRule="auto"/>
        <w:jc w:val="both"/>
        <w:rPr>
          <w:sz w:val="24"/>
          <w:szCs w:val="24"/>
        </w:rPr>
      </w:pPr>
      <w:r w:rsidRPr="00E806B0">
        <w:rPr>
          <w:sz w:val="24"/>
          <w:szCs w:val="24"/>
        </w:rPr>
        <w:t xml:space="preserve">В случае невозможности осуществления гарантийного обслуживания (ремонта) ТСР Поставщик заменяет товар </w:t>
      </w:r>
      <w:proofErr w:type="gramStart"/>
      <w:r w:rsidRPr="00E806B0">
        <w:rPr>
          <w:sz w:val="24"/>
          <w:szCs w:val="24"/>
        </w:rPr>
        <w:t>на</w:t>
      </w:r>
      <w:proofErr w:type="gramEnd"/>
      <w:r w:rsidRPr="00E806B0">
        <w:rPr>
          <w:sz w:val="24"/>
          <w:szCs w:val="24"/>
        </w:rPr>
        <w:t xml:space="preserve"> новый. Поставщик несет все расходы по транспортировке, погрузке и выгрузке товара от места жительства Получателя к месту осуществления гарантийного обслуживания (ремонта) и обратно.</w:t>
      </w:r>
    </w:p>
    <w:p w:rsidR="00975D00" w:rsidRPr="00E806B0" w:rsidRDefault="00975D00" w:rsidP="00975D00">
      <w:pPr>
        <w:spacing w:line="240" w:lineRule="auto"/>
        <w:jc w:val="both"/>
        <w:rPr>
          <w:sz w:val="24"/>
          <w:szCs w:val="24"/>
        </w:rPr>
      </w:pPr>
      <w:r w:rsidRPr="00E806B0">
        <w:rPr>
          <w:sz w:val="24"/>
          <w:szCs w:val="24"/>
        </w:rPr>
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</w:r>
    </w:p>
    <w:p w:rsidR="00975D00" w:rsidRPr="00E806B0" w:rsidRDefault="00975D00" w:rsidP="00975D00">
      <w:pPr>
        <w:spacing w:line="240" w:lineRule="auto"/>
        <w:jc w:val="both"/>
      </w:pPr>
      <w:r w:rsidRPr="00E806B0">
        <w:rPr>
          <w:sz w:val="24"/>
          <w:szCs w:val="24"/>
        </w:rPr>
        <w:t xml:space="preserve">Поставщик предоставляет Заказчику технический паспорт на ТСР на русском языке или </w:t>
      </w:r>
      <w:r w:rsidRPr="00E806B0">
        <w:t>инструкцию пользователя</w:t>
      </w:r>
      <w:r w:rsidRPr="00E806B0">
        <w:rPr>
          <w:sz w:val="24"/>
          <w:szCs w:val="24"/>
        </w:rPr>
        <w:t xml:space="preserve"> </w:t>
      </w:r>
      <w:r w:rsidRPr="00E806B0">
        <w:t>(руководство по эксплуатации)</w:t>
      </w:r>
      <w:r w:rsidRPr="00E806B0">
        <w:rPr>
          <w:sz w:val="24"/>
          <w:szCs w:val="24"/>
        </w:rPr>
        <w:t xml:space="preserve"> </w:t>
      </w:r>
      <w:r w:rsidRPr="00E806B0">
        <w:t>ТСР на русском языке,</w:t>
      </w:r>
      <w:r w:rsidRPr="00E806B0">
        <w:rPr>
          <w:sz w:val="24"/>
          <w:szCs w:val="24"/>
        </w:rPr>
        <w:t xml:space="preserve"> </w:t>
      </w:r>
      <w:r w:rsidRPr="00E806B0">
        <w:t>гарантийный талон, подписанный</w:t>
      </w:r>
      <w:r w:rsidRPr="00E806B0">
        <w:rPr>
          <w:sz w:val="24"/>
          <w:szCs w:val="24"/>
        </w:rPr>
        <w:t xml:space="preserve"> </w:t>
      </w:r>
      <w:r w:rsidRPr="00E806B0">
        <w:t>Поставщиком и заверенный печатью, или иные</w:t>
      </w:r>
      <w:r w:rsidRPr="00E806B0">
        <w:rPr>
          <w:sz w:val="24"/>
          <w:szCs w:val="24"/>
        </w:rPr>
        <w:t xml:space="preserve"> </w:t>
      </w:r>
      <w:r w:rsidRPr="00E806B0">
        <w:t>документы, подтверждающие качество товара, оформленные в соответствии с законодательством Российской Федерации.</w:t>
      </w:r>
    </w:p>
    <w:p w:rsidR="00975D00" w:rsidRPr="007E3DBC" w:rsidRDefault="00975D00" w:rsidP="00975D00">
      <w:pPr>
        <w:spacing w:line="240" w:lineRule="auto"/>
        <w:jc w:val="both"/>
        <w:rPr>
          <w:sz w:val="8"/>
          <w:szCs w:val="8"/>
        </w:rPr>
      </w:pPr>
    </w:p>
    <w:p w:rsidR="00975D00" w:rsidRPr="00943C21" w:rsidRDefault="00975D00" w:rsidP="00975D00">
      <w:pPr>
        <w:widowControl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4"/>
          <w:szCs w:val="24"/>
        </w:rPr>
      </w:pPr>
      <w:r w:rsidRPr="00943C21">
        <w:rPr>
          <w:b/>
          <w:color w:val="000000"/>
          <w:sz w:val="24"/>
          <w:szCs w:val="24"/>
        </w:rPr>
        <w:t>Требования к качеству, техническим, функциональным характеристикам:</w:t>
      </w:r>
    </w:p>
    <w:p w:rsidR="00975D00" w:rsidRPr="00A10684" w:rsidRDefault="00975D00" w:rsidP="00975D00">
      <w:pPr>
        <w:spacing w:line="240" w:lineRule="auto"/>
        <w:jc w:val="both"/>
        <w:rPr>
          <w:sz w:val="24"/>
          <w:szCs w:val="24"/>
        </w:rPr>
      </w:pPr>
      <w:r w:rsidRPr="00A10684">
        <w:rPr>
          <w:sz w:val="24"/>
          <w:szCs w:val="24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его качественные характеристики.</w:t>
      </w:r>
    </w:p>
    <w:p w:rsidR="00975D00" w:rsidRDefault="00975D00" w:rsidP="00975D00">
      <w:pPr>
        <w:widowControl/>
        <w:autoSpaceDE w:val="0"/>
        <w:autoSpaceDN w:val="0"/>
        <w:adjustRightInd w:val="0"/>
        <w:spacing w:line="240" w:lineRule="auto"/>
        <w:ind w:left="-24"/>
        <w:jc w:val="both"/>
        <w:rPr>
          <w:sz w:val="24"/>
          <w:szCs w:val="24"/>
        </w:rPr>
      </w:pPr>
      <w:r w:rsidRPr="00371DC8">
        <w:rPr>
          <w:sz w:val="24"/>
          <w:szCs w:val="24"/>
        </w:rPr>
        <w:t>ТСР должны соответствовать требованиям стандартов</w:t>
      </w:r>
      <w:r w:rsidRPr="00136B4B">
        <w:rPr>
          <w:sz w:val="24"/>
          <w:szCs w:val="24"/>
        </w:rPr>
        <w:tab/>
        <w:t xml:space="preserve">ГОСТ </w:t>
      </w:r>
      <w:proofErr w:type="gramStart"/>
      <w:r w:rsidRPr="00136B4B">
        <w:rPr>
          <w:sz w:val="24"/>
          <w:szCs w:val="24"/>
        </w:rPr>
        <w:t>Р</w:t>
      </w:r>
      <w:proofErr w:type="gramEnd"/>
      <w:r w:rsidRPr="00136B4B">
        <w:rPr>
          <w:sz w:val="24"/>
          <w:szCs w:val="24"/>
        </w:rPr>
        <w:t xml:space="preserve"> ИСО 11199-1-2015</w:t>
      </w:r>
      <w:r>
        <w:rPr>
          <w:sz w:val="24"/>
          <w:szCs w:val="24"/>
        </w:rPr>
        <w:t xml:space="preserve">          </w:t>
      </w:r>
      <w:r w:rsidRPr="00136B4B">
        <w:rPr>
          <w:sz w:val="24"/>
          <w:szCs w:val="24"/>
        </w:rPr>
        <w:t xml:space="preserve"> </w:t>
      </w:r>
      <w:r>
        <w:rPr>
          <w:sz w:val="24"/>
          <w:szCs w:val="24"/>
        </w:rPr>
        <w:t>«Средства вспомогательные для ходьбы, управляемые обеими руками. Требования и методы испытаний. Часть 1. Ходунки».</w:t>
      </w:r>
    </w:p>
    <w:p w:rsidR="00975D00" w:rsidRDefault="00975D00" w:rsidP="00975D00">
      <w:pPr>
        <w:widowControl/>
        <w:autoSpaceDE w:val="0"/>
        <w:autoSpaceDN w:val="0"/>
        <w:adjustRightInd w:val="0"/>
        <w:spacing w:line="240" w:lineRule="auto"/>
        <w:ind w:left="-24"/>
        <w:jc w:val="both"/>
        <w:rPr>
          <w:sz w:val="24"/>
          <w:szCs w:val="24"/>
        </w:rPr>
      </w:pPr>
    </w:p>
    <w:p w:rsidR="00975D00" w:rsidRPr="002811BE" w:rsidRDefault="00975D00" w:rsidP="00975D00">
      <w:pPr>
        <w:widowControl/>
        <w:autoSpaceDE w:val="0"/>
        <w:autoSpaceDN w:val="0"/>
        <w:adjustRightInd w:val="0"/>
        <w:spacing w:line="240" w:lineRule="auto"/>
        <w:ind w:left="-24"/>
        <w:jc w:val="both"/>
        <w:rPr>
          <w:b/>
          <w:sz w:val="24"/>
          <w:szCs w:val="24"/>
        </w:rPr>
      </w:pPr>
      <w:r w:rsidRPr="002811BE">
        <w:rPr>
          <w:b/>
          <w:sz w:val="24"/>
          <w:szCs w:val="24"/>
        </w:rPr>
        <w:t>Требования к комплектности, маркировке, упаковке ТСР:</w:t>
      </w:r>
    </w:p>
    <w:p w:rsidR="00975D00" w:rsidRDefault="00975D00" w:rsidP="00975D00">
      <w:pPr>
        <w:widowControl/>
        <w:autoSpaceDE w:val="0"/>
        <w:autoSpaceDN w:val="0"/>
        <w:adjustRightInd w:val="0"/>
        <w:spacing w:line="240" w:lineRule="auto"/>
        <w:ind w:left="-23"/>
        <w:jc w:val="both"/>
        <w:rPr>
          <w:sz w:val="24"/>
          <w:szCs w:val="24"/>
        </w:rPr>
      </w:pPr>
      <w:r w:rsidRPr="00A10684">
        <w:rPr>
          <w:sz w:val="24"/>
          <w:szCs w:val="24"/>
        </w:rPr>
        <w:t>Упаковка ТСР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975D00" w:rsidRDefault="00975D00" w:rsidP="00975D00">
      <w:pPr>
        <w:jc w:val="both"/>
        <w:rPr>
          <w:b/>
          <w:sz w:val="24"/>
          <w:szCs w:val="24"/>
        </w:rPr>
      </w:pPr>
    </w:p>
    <w:sectPr w:rsidR="00975D00" w:rsidSect="008F62A9">
      <w:footerReference w:type="default" r:id="rId9"/>
      <w:pgSz w:w="11906" w:h="16838"/>
      <w:pgMar w:top="1134" w:right="737" w:bottom="1134" w:left="108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F8" w:rsidRDefault="00667EF8">
      <w:r>
        <w:separator/>
      </w:r>
    </w:p>
  </w:endnote>
  <w:endnote w:type="continuationSeparator" w:id="0">
    <w:p w:rsidR="00667EF8" w:rsidRDefault="0066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50" w:rsidRPr="0044154D" w:rsidRDefault="00C56D50" w:rsidP="004B4439">
    <w:pPr>
      <w:pStyle w:val="a3"/>
      <w:framePr w:wrap="auto" w:vAnchor="text" w:hAnchor="margin" w:xAlign="center" w:y="1"/>
      <w:rPr>
        <w:rStyle w:val="a4"/>
      </w:rPr>
    </w:pPr>
    <w:r w:rsidRPr="0044154D">
      <w:rPr>
        <w:rStyle w:val="a4"/>
      </w:rPr>
      <w:fldChar w:fldCharType="begin"/>
    </w:r>
    <w:r w:rsidRPr="0044154D">
      <w:rPr>
        <w:rStyle w:val="a4"/>
      </w:rPr>
      <w:instrText xml:space="preserve">PAGE  </w:instrText>
    </w:r>
    <w:r w:rsidRPr="0044154D">
      <w:rPr>
        <w:rStyle w:val="a4"/>
      </w:rPr>
      <w:fldChar w:fldCharType="separate"/>
    </w:r>
    <w:r w:rsidR="00975D00">
      <w:rPr>
        <w:rStyle w:val="a4"/>
        <w:noProof/>
      </w:rPr>
      <w:t>2</w:t>
    </w:r>
    <w:r w:rsidRPr="0044154D">
      <w:rPr>
        <w:rStyle w:val="a4"/>
      </w:rPr>
      <w:fldChar w:fldCharType="end"/>
    </w:r>
  </w:p>
  <w:p w:rsidR="00C56D50" w:rsidRDefault="00C56D50" w:rsidP="004B443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F8" w:rsidRDefault="00667EF8">
      <w:r>
        <w:separator/>
      </w:r>
    </w:p>
  </w:footnote>
  <w:footnote w:type="continuationSeparator" w:id="0">
    <w:p w:rsidR="00667EF8" w:rsidRDefault="0066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16"/>
      </w:rPr>
    </w:lvl>
  </w:abstractNum>
  <w:abstractNum w:abstractNumId="1">
    <w:nsid w:val="0000002F"/>
    <w:multiLevelType w:val="multilevel"/>
    <w:tmpl w:val="0000002F"/>
    <w:name w:val="WW8Num4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9C0493A"/>
    <w:multiLevelType w:val="multilevel"/>
    <w:tmpl w:val="B058BD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C527F7"/>
    <w:multiLevelType w:val="hybridMultilevel"/>
    <w:tmpl w:val="CFCC7388"/>
    <w:lvl w:ilvl="0" w:tplc="F82C6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E444D72"/>
    <w:multiLevelType w:val="hybridMultilevel"/>
    <w:tmpl w:val="595A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70AEB"/>
    <w:multiLevelType w:val="hybridMultilevel"/>
    <w:tmpl w:val="B058BDEE"/>
    <w:lvl w:ilvl="0" w:tplc="F82C6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812CB0"/>
    <w:multiLevelType w:val="multilevel"/>
    <w:tmpl w:val="B058BD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5005F3"/>
    <w:multiLevelType w:val="hybridMultilevel"/>
    <w:tmpl w:val="4C829946"/>
    <w:lvl w:ilvl="0" w:tplc="EB78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3225F"/>
    <w:multiLevelType w:val="multilevel"/>
    <w:tmpl w:val="62BAF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031A7"/>
    <w:multiLevelType w:val="hybridMultilevel"/>
    <w:tmpl w:val="62BAF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5132E"/>
    <w:multiLevelType w:val="multilevel"/>
    <w:tmpl w:val="BB982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1308A"/>
    <w:multiLevelType w:val="multilevel"/>
    <w:tmpl w:val="BB982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03524"/>
    <w:multiLevelType w:val="hybridMultilevel"/>
    <w:tmpl w:val="C87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A327F"/>
    <w:multiLevelType w:val="hybridMultilevel"/>
    <w:tmpl w:val="BB9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39"/>
    <w:rsid w:val="00004173"/>
    <w:rsid w:val="0000537F"/>
    <w:rsid w:val="00006A9E"/>
    <w:rsid w:val="00044E3F"/>
    <w:rsid w:val="00047908"/>
    <w:rsid w:val="00064523"/>
    <w:rsid w:val="00065513"/>
    <w:rsid w:val="00065FCC"/>
    <w:rsid w:val="00071989"/>
    <w:rsid w:val="00086C54"/>
    <w:rsid w:val="00087A37"/>
    <w:rsid w:val="00093BB4"/>
    <w:rsid w:val="000957E7"/>
    <w:rsid w:val="00095A08"/>
    <w:rsid w:val="000A4AE4"/>
    <w:rsid w:val="000A5E9E"/>
    <w:rsid w:val="000B1EE3"/>
    <w:rsid w:val="000B3FB3"/>
    <w:rsid w:val="000C13E0"/>
    <w:rsid w:val="000D14F1"/>
    <w:rsid w:val="000D6E61"/>
    <w:rsid w:val="000F709A"/>
    <w:rsid w:val="00102E7E"/>
    <w:rsid w:val="00103CD9"/>
    <w:rsid w:val="001117A3"/>
    <w:rsid w:val="001129EC"/>
    <w:rsid w:val="00116312"/>
    <w:rsid w:val="00120CD6"/>
    <w:rsid w:val="00131078"/>
    <w:rsid w:val="00132447"/>
    <w:rsid w:val="001341D4"/>
    <w:rsid w:val="00135E82"/>
    <w:rsid w:val="001538C2"/>
    <w:rsid w:val="0015438F"/>
    <w:rsid w:val="00160336"/>
    <w:rsid w:val="00166275"/>
    <w:rsid w:val="00170DD0"/>
    <w:rsid w:val="00181302"/>
    <w:rsid w:val="00181413"/>
    <w:rsid w:val="00187700"/>
    <w:rsid w:val="001909FB"/>
    <w:rsid w:val="00191370"/>
    <w:rsid w:val="00197771"/>
    <w:rsid w:val="001A4720"/>
    <w:rsid w:val="001A4DFA"/>
    <w:rsid w:val="001C0D7A"/>
    <w:rsid w:val="001E10AC"/>
    <w:rsid w:val="00203AA6"/>
    <w:rsid w:val="00205CE0"/>
    <w:rsid w:val="002112EF"/>
    <w:rsid w:val="0022440A"/>
    <w:rsid w:val="00226AF8"/>
    <w:rsid w:val="00227FFD"/>
    <w:rsid w:val="002322CD"/>
    <w:rsid w:val="0023445A"/>
    <w:rsid w:val="00243ED9"/>
    <w:rsid w:val="0024480A"/>
    <w:rsid w:val="002559D2"/>
    <w:rsid w:val="002607F9"/>
    <w:rsid w:val="00265620"/>
    <w:rsid w:val="002806D3"/>
    <w:rsid w:val="00280B48"/>
    <w:rsid w:val="00286409"/>
    <w:rsid w:val="00290027"/>
    <w:rsid w:val="00290974"/>
    <w:rsid w:val="002948E4"/>
    <w:rsid w:val="00297DF1"/>
    <w:rsid w:val="002A18C9"/>
    <w:rsid w:val="002B50CD"/>
    <w:rsid w:val="002D1964"/>
    <w:rsid w:val="00301A12"/>
    <w:rsid w:val="00305362"/>
    <w:rsid w:val="00310568"/>
    <w:rsid w:val="0032242E"/>
    <w:rsid w:val="00323F39"/>
    <w:rsid w:val="00330567"/>
    <w:rsid w:val="003352EC"/>
    <w:rsid w:val="00345F11"/>
    <w:rsid w:val="00346977"/>
    <w:rsid w:val="00350B78"/>
    <w:rsid w:val="00352CFC"/>
    <w:rsid w:val="003535C4"/>
    <w:rsid w:val="003552D7"/>
    <w:rsid w:val="003614DC"/>
    <w:rsid w:val="00367EAC"/>
    <w:rsid w:val="00387060"/>
    <w:rsid w:val="003A2040"/>
    <w:rsid w:val="003B711D"/>
    <w:rsid w:val="003C1FA3"/>
    <w:rsid w:val="003F0617"/>
    <w:rsid w:val="003F200F"/>
    <w:rsid w:val="003F384B"/>
    <w:rsid w:val="00404041"/>
    <w:rsid w:val="00420E71"/>
    <w:rsid w:val="00421B7A"/>
    <w:rsid w:val="004229A5"/>
    <w:rsid w:val="00431906"/>
    <w:rsid w:val="00434B5F"/>
    <w:rsid w:val="00436226"/>
    <w:rsid w:val="00436CF8"/>
    <w:rsid w:val="00445517"/>
    <w:rsid w:val="00446F4C"/>
    <w:rsid w:val="004520B1"/>
    <w:rsid w:val="0045291D"/>
    <w:rsid w:val="00462CB3"/>
    <w:rsid w:val="0046337C"/>
    <w:rsid w:val="00474172"/>
    <w:rsid w:val="00480528"/>
    <w:rsid w:val="00484330"/>
    <w:rsid w:val="004A1335"/>
    <w:rsid w:val="004A1872"/>
    <w:rsid w:val="004B396A"/>
    <w:rsid w:val="004B42FE"/>
    <w:rsid w:val="004B4439"/>
    <w:rsid w:val="004B79EC"/>
    <w:rsid w:val="004D17CE"/>
    <w:rsid w:val="004D1918"/>
    <w:rsid w:val="004D3CF5"/>
    <w:rsid w:val="004D55D9"/>
    <w:rsid w:val="004E018D"/>
    <w:rsid w:val="005041B1"/>
    <w:rsid w:val="0051386F"/>
    <w:rsid w:val="00527898"/>
    <w:rsid w:val="0053244A"/>
    <w:rsid w:val="00535DD9"/>
    <w:rsid w:val="00536705"/>
    <w:rsid w:val="005372D8"/>
    <w:rsid w:val="00551202"/>
    <w:rsid w:val="0055283D"/>
    <w:rsid w:val="00553415"/>
    <w:rsid w:val="00554197"/>
    <w:rsid w:val="00554762"/>
    <w:rsid w:val="00565532"/>
    <w:rsid w:val="00572DAD"/>
    <w:rsid w:val="00583AED"/>
    <w:rsid w:val="00586BCA"/>
    <w:rsid w:val="00590536"/>
    <w:rsid w:val="005A57BD"/>
    <w:rsid w:val="005A721F"/>
    <w:rsid w:val="005B2BBF"/>
    <w:rsid w:val="005B360D"/>
    <w:rsid w:val="005C6C89"/>
    <w:rsid w:val="005C7288"/>
    <w:rsid w:val="005D3C05"/>
    <w:rsid w:val="005F36E6"/>
    <w:rsid w:val="005F4609"/>
    <w:rsid w:val="00602944"/>
    <w:rsid w:val="0061007C"/>
    <w:rsid w:val="00614D2D"/>
    <w:rsid w:val="0061721E"/>
    <w:rsid w:val="006203B5"/>
    <w:rsid w:val="00623ACE"/>
    <w:rsid w:val="00624156"/>
    <w:rsid w:val="00624BC0"/>
    <w:rsid w:val="00625E65"/>
    <w:rsid w:val="00626F2F"/>
    <w:rsid w:val="006302B7"/>
    <w:rsid w:val="006358FB"/>
    <w:rsid w:val="00635ECA"/>
    <w:rsid w:val="0063759D"/>
    <w:rsid w:val="00644CAB"/>
    <w:rsid w:val="0065019A"/>
    <w:rsid w:val="006616A9"/>
    <w:rsid w:val="00664FA0"/>
    <w:rsid w:val="00665AC8"/>
    <w:rsid w:val="00666095"/>
    <w:rsid w:val="00667EF8"/>
    <w:rsid w:val="0067013E"/>
    <w:rsid w:val="006853A0"/>
    <w:rsid w:val="00691484"/>
    <w:rsid w:val="00692686"/>
    <w:rsid w:val="00693CC8"/>
    <w:rsid w:val="0069671E"/>
    <w:rsid w:val="006A13D5"/>
    <w:rsid w:val="006B44E8"/>
    <w:rsid w:val="006B6750"/>
    <w:rsid w:val="006C0D92"/>
    <w:rsid w:val="006D2085"/>
    <w:rsid w:val="006F7C99"/>
    <w:rsid w:val="006F7E06"/>
    <w:rsid w:val="007007C0"/>
    <w:rsid w:val="00702731"/>
    <w:rsid w:val="00702EB5"/>
    <w:rsid w:val="0071245B"/>
    <w:rsid w:val="00730C32"/>
    <w:rsid w:val="00731AB4"/>
    <w:rsid w:val="007349D4"/>
    <w:rsid w:val="00740446"/>
    <w:rsid w:val="00743219"/>
    <w:rsid w:val="0074435B"/>
    <w:rsid w:val="00747D21"/>
    <w:rsid w:val="00750554"/>
    <w:rsid w:val="0075273D"/>
    <w:rsid w:val="007557C9"/>
    <w:rsid w:val="00771ABC"/>
    <w:rsid w:val="00771CC3"/>
    <w:rsid w:val="00773ADF"/>
    <w:rsid w:val="00775522"/>
    <w:rsid w:val="00776A7B"/>
    <w:rsid w:val="007818A0"/>
    <w:rsid w:val="00783FC8"/>
    <w:rsid w:val="00795A87"/>
    <w:rsid w:val="00796E10"/>
    <w:rsid w:val="007A6C68"/>
    <w:rsid w:val="007A795B"/>
    <w:rsid w:val="007A7DA4"/>
    <w:rsid w:val="007B13B8"/>
    <w:rsid w:val="007B743B"/>
    <w:rsid w:val="007C1CA7"/>
    <w:rsid w:val="007D1424"/>
    <w:rsid w:val="007D6601"/>
    <w:rsid w:val="007E3DBC"/>
    <w:rsid w:val="007F39D3"/>
    <w:rsid w:val="00812761"/>
    <w:rsid w:val="0081675A"/>
    <w:rsid w:val="00816B4F"/>
    <w:rsid w:val="00830FBE"/>
    <w:rsid w:val="00844A57"/>
    <w:rsid w:val="00854BF8"/>
    <w:rsid w:val="00855D27"/>
    <w:rsid w:val="00857E57"/>
    <w:rsid w:val="00860FE9"/>
    <w:rsid w:val="00865AA3"/>
    <w:rsid w:val="008668FA"/>
    <w:rsid w:val="00872B49"/>
    <w:rsid w:val="00883C2F"/>
    <w:rsid w:val="008859F8"/>
    <w:rsid w:val="00887419"/>
    <w:rsid w:val="00894A36"/>
    <w:rsid w:val="008A7B12"/>
    <w:rsid w:val="008B071E"/>
    <w:rsid w:val="008B0845"/>
    <w:rsid w:val="008B447B"/>
    <w:rsid w:val="008B4EA4"/>
    <w:rsid w:val="008B5837"/>
    <w:rsid w:val="008C0705"/>
    <w:rsid w:val="008C14C0"/>
    <w:rsid w:val="008D013C"/>
    <w:rsid w:val="008D016C"/>
    <w:rsid w:val="008E3018"/>
    <w:rsid w:val="008F62A9"/>
    <w:rsid w:val="008F6588"/>
    <w:rsid w:val="00903088"/>
    <w:rsid w:val="009066C9"/>
    <w:rsid w:val="0091089F"/>
    <w:rsid w:val="00917559"/>
    <w:rsid w:val="00920943"/>
    <w:rsid w:val="00921DD9"/>
    <w:rsid w:val="00925301"/>
    <w:rsid w:val="00933F3E"/>
    <w:rsid w:val="0094101F"/>
    <w:rsid w:val="00954A40"/>
    <w:rsid w:val="00963A46"/>
    <w:rsid w:val="00965EE5"/>
    <w:rsid w:val="00975D00"/>
    <w:rsid w:val="009921F1"/>
    <w:rsid w:val="00994429"/>
    <w:rsid w:val="00995973"/>
    <w:rsid w:val="009974B9"/>
    <w:rsid w:val="009A3141"/>
    <w:rsid w:val="009A7AA6"/>
    <w:rsid w:val="009C2FD4"/>
    <w:rsid w:val="009C55CA"/>
    <w:rsid w:val="009D0EF1"/>
    <w:rsid w:val="009E3086"/>
    <w:rsid w:val="009E5FAB"/>
    <w:rsid w:val="00A01981"/>
    <w:rsid w:val="00A105F9"/>
    <w:rsid w:val="00A1064A"/>
    <w:rsid w:val="00A37DB2"/>
    <w:rsid w:val="00A45A02"/>
    <w:rsid w:val="00A527E2"/>
    <w:rsid w:val="00A575C4"/>
    <w:rsid w:val="00A63D1C"/>
    <w:rsid w:val="00A806B5"/>
    <w:rsid w:val="00A810F2"/>
    <w:rsid w:val="00A86A95"/>
    <w:rsid w:val="00AA1D93"/>
    <w:rsid w:val="00AA53DB"/>
    <w:rsid w:val="00AB7181"/>
    <w:rsid w:val="00AC4F9F"/>
    <w:rsid w:val="00AD2EED"/>
    <w:rsid w:val="00AD3D06"/>
    <w:rsid w:val="00AE0027"/>
    <w:rsid w:val="00AE294D"/>
    <w:rsid w:val="00AE3337"/>
    <w:rsid w:val="00AE7F8F"/>
    <w:rsid w:val="00AF6D0A"/>
    <w:rsid w:val="00AF78AD"/>
    <w:rsid w:val="00B017DF"/>
    <w:rsid w:val="00B03C06"/>
    <w:rsid w:val="00B04D3F"/>
    <w:rsid w:val="00B061FA"/>
    <w:rsid w:val="00B07177"/>
    <w:rsid w:val="00B13745"/>
    <w:rsid w:val="00B416C0"/>
    <w:rsid w:val="00B4407B"/>
    <w:rsid w:val="00B61D58"/>
    <w:rsid w:val="00B6275A"/>
    <w:rsid w:val="00B67531"/>
    <w:rsid w:val="00B75241"/>
    <w:rsid w:val="00B824C7"/>
    <w:rsid w:val="00B86616"/>
    <w:rsid w:val="00B964A0"/>
    <w:rsid w:val="00BA06E3"/>
    <w:rsid w:val="00BA273D"/>
    <w:rsid w:val="00BA360D"/>
    <w:rsid w:val="00BA5FAD"/>
    <w:rsid w:val="00BA641B"/>
    <w:rsid w:val="00BB1840"/>
    <w:rsid w:val="00BB1884"/>
    <w:rsid w:val="00BC1BF0"/>
    <w:rsid w:val="00BC2289"/>
    <w:rsid w:val="00BF2230"/>
    <w:rsid w:val="00BF384D"/>
    <w:rsid w:val="00BF4170"/>
    <w:rsid w:val="00C065FB"/>
    <w:rsid w:val="00C07A8F"/>
    <w:rsid w:val="00C20866"/>
    <w:rsid w:val="00C271A4"/>
    <w:rsid w:val="00C32399"/>
    <w:rsid w:val="00C3575A"/>
    <w:rsid w:val="00C4051B"/>
    <w:rsid w:val="00C41791"/>
    <w:rsid w:val="00C51EC1"/>
    <w:rsid w:val="00C5526B"/>
    <w:rsid w:val="00C56D50"/>
    <w:rsid w:val="00C56E2F"/>
    <w:rsid w:val="00C71E24"/>
    <w:rsid w:val="00C71E69"/>
    <w:rsid w:val="00C76837"/>
    <w:rsid w:val="00C87924"/>
    <w:rsid w:val="00C919C0"/>
    <w:rsid w:val="00C9546D"/>
    <w:rsid w:val="00C95C2A"/>
    <w:rsid w:val="00CA75C8"/>
    <w:rsid w:val="00CB038A"/>
    <w:rsid w:val="00CB59A6"/>
    <w:rsid w:val="00CB7239"/>
    <w:rsid w:val="00CD248C"/>
    <w:rsid w:val="00CD44B4"/>
    <w:rsid w:val="00CD78E5"/>
    <w:rsid w:val="00CE2DF5"/>
    <w:rsid w:val="00CE2F82"/>
    <w:rsid w:val="00CF0A19"/>
    <w:rsid w:val="00CF16A1"/>
    <w:rsid w:val="00CF5B64"/>
    <w:rsid w:val="00D1020B"/>
    <w:rsid w:val="00D253DC"/>
    <w:rsid w:val="00D417AD"/>
    <w:rsid w:val="00D45C67"/>
    <w:rsid w:val="00D570D0"/>
    <w:rsid w:val="00D57478"/>
    <w:rsid w:val="00D826D8"/>
    <w:rsid w:val="00D90AB8"/>
    <w:rsid w:val="00D958A8"/>
    <w:rsid w:val="00D95F3A"/>
    <w:rsid w:val="00DB387C"/>
    <w:rsid w:val="00DC7A78"/>
    <w:rsid w:val="00DF1483"/>
    <w:rsid w:val="00E119D1"/>
    <w:rsid w:val="00E165DA"/>
    <w:rsid w:val="00E218C7"/>
    <w:rsid w:val="00E268E5"/>
    <w:rsid w:val="00E305CB"/>
    <w:rsid w:val="00E30A8F"/>
    <w:rsid w:val="00E41EFC"/>
    <w:rsid w:val="00E425C9"/>
    <w:rsid w:val="00E46302"/>
    <w:rsid w:val="00E508A5"/>
    <w:rsid w:val="00E529D4"/>
    <w:rsid w:val="00E578E5"/>
    <w:rsid w:val="00E65559"/>
    <w:rsid w:val="00E66684"/>
    <w:rsid w:val="00E72D2B"/>
    <w:rsid w:val="00E82F4E"/>
    <w:rsid w:val="00E97D2A"/>
    <w:rsid w:val="00EC75EC"/>
    <w:rsid w:val="00ED4A15"/>
    <w:rsid w:val="00EE2437"/>
    <w:rsid w:val="00EF474C"/>
    <w:rsid w:val="00EF48A8"/>
    <w:rsid w:val="00EF5708"/>
    <w:rsid w:val="00EF5C1E"/>
    <w:rsid w:val="00EF65D5"/>
    <w:rsid w:val="00F00F24"/>
    <w:rsid w:val="00F0284D"/>
    <w:rsid w:val="00F029BA"/>
    <w:rsid w:val="00F050BD"/>
    <w:rsid w:val="00F2172C"/>
    <w:rsid w:val="00F52BD3"/>
    <w:rsid w:val="00F54B5B"/>
    <w:rsid w:val="00F6464D"/>
    <w:rsid w:val="00F64C80"/>
    <w:rsid w:val="00F7772B"/>
    <w:rsid w:val="00F82F51"/>
    <w:rsid w:val="00F86050"/>
    <w:rsid w:val="00F86C22"/>
    <w:rsid w:val="00F912DD"/>
    <w:rsid w:val="00F93F62"/>
    <w:rsid w:val="00F950E5"/>
    <w:rsid w:val="00FB39A8"/>
    <w:rsid w:val="00FD2CFF"/>
    <w:rsid w:val="00FE06A0"/>
    <w:rsid w:val="00FE41FC"/>
    <w:rsid w:val="00FF192B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1F"/>
    <w:pPr>
      <w:widowControl w:val="0"/>
      <w:spacing w:line="30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443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styleId="a4">
    <w:name w:val="page number"/>
    <w:basedOn w:val="a0"/>
    <w:rsid w:val="004B4439"/>
  </w:style>
  <w:style w:type="paragraph" w:customStyle="1" w:styleId="a5">
    <w:name w:val="Знак Знак Знак Знак Знак Знак Знак Знак Знак Знак"/>
    <w:basedOn w:val="a"/>
    <w:rsid w:val="004B4439"/>
    <w:pPr>
      <w:widowControl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806B5"/>
    <w:rPr>
      <w:rFonts w:ascii="Tahoma" w:hAnsi="Tahoma" w:cs="Tahoma"/>
      <w:sz w:val="16"/>
      <w:szCs w:val="16"/>
    </w:rPr>
  </w:style>
  <w:style w:type="character" w:styleId="a7">
    <w:name w:val="Hyperlink"/>
    <w:rsid w:val="00812761"/>
    <w:rPr>
      <w:color w:val="0000FF"/>
      <w:u w:val="single"/>
    </w:rPr>
  </w:style>
  <w:style w:type="paragraph" w:customStyle="1" w:styleId="ConsPlusCell">
    <w:name w:val="ConsPlusCell"/>
    <w:rsid w:val="00D82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9"/>
    <w:rsid w:val="00CE2DF5"/>
    <w:pPr>
      <w:widowControl/>
      <w:spacing w:line="240" w:lineRule="auto"/>
    </w:pPr>
    <w:rPr>
      <w:b/>
      <w:bCs/>
      <w:sz w:val="28"/>
      <w:szCs w:val="24"/>
    </w:rPr>
  </w:style>
  <w:style w:type="paragraph" w:customStyle="1" w:styleId="ConsPlusNormal">
    <w:name w:val="ConsPlusNormal"/>
    <w:rsid w:val="00CE2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E2DF5"/>
    <w:pPr>
      <w:widowControl/>
      <w:spacing w:line="240" w:lineRule="auto"/>
      <w:ind w:firstLine="567"/>
      <w:jc w:val="both"/>
    </w:pPr>
    <w:rPr>
      <w:sz w:val="24"/>
      <w:szCs w:val="20"/>
    </w:rPr>
  </w:style>
  <w:style w:type="paragraph" w:styleId="aa">
    <w:name w:val="header"/>
    <w:basedOn w:val="a"/>
    <w:rsid w:val="00CE2DF5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styleId="3">
    <w:name w:val="Body Text 3"/>
    <w:basedOn w:val="a"/>
    <w:rsid w:val="00CE2DF5"/>
    <w:pPr>
      <w:widowControl/>
      <w:spacing w:after="120" w:line="240" w:lineRule="auto"/>
    </w:pPr>
    <w:rPr>
      <w:sz w:val="16"/>
      <w:szCs w:val="16"/>
    </w:rPr>
  </w:style>
  <w:style w:type="paragraph" w:styleId="2">
    <w:name w:val="Body Text Indent 2"/>
    <w:basedOn w:val="a"/>
    <w:rsid w:val="00CE2DF5"/>
    <w:pPr>
      <w:widowControl/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CE2DF5"/>
    <w:pPr>
      <w:widowControl/>
      <w:spacing w:after="120" w:line="240" w:lineRule="auto"/>
      <w:ind w:left="283"/>
    </w:pPr>
    <w:rPr>
      <w:sz w:val="16"/>
      <w:szCs w:val="16"/>
    </w:rPr>
  </w:style>
  <w:style w:type="paragraph" w:customStyle="1" w:styleId="20">
    <w:name w:val="Знак2"/>
    <w:basedOn w:val="a"/>
    <w:autoRedefine/>
    <w:rsid w:val="00CE2DF5"/>
    <w:pPr>
      <w:widowControl/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1"/>
    <w:basedOn w:val="a"/>
    <w:rsid w:val="00CE2DF5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2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8"/>
    <w:rsid w:val="00CE2DF5"/>
    <w:rPr>
      <w:b/>
      <w:bCs/>
      <w:sz w:val="28"/>
      <w:szCs w:val="24"/>
      <w:lang w:val="ru-RU" w:eastAsia="ru-RU" w:bidi="ar-SA"/>
    </w:rPr>
  </w:style>
  <w:style w:type="paragraph" w:customStyle="1" w:styleId="ab">
    <w:name w:val="Знак Знак"/>
    <w:basedOn w:val="a"/>
    <w:rsid w:val="00C271A4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3614DC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link w:val="120"/>
    <w:rsid w:val="0071245B"/>
    <w:pPr>
      <w:widowControl/>
      <w:autoSpaceDE w:val="0"/>
      <w:autoSpaceDN w:val="0"/>
      <w:adjustRightInd w:val="0"/>
      <w:spacing w:line="240" w:lineRule="auto"/>
      <w:jc w:val="both"/>
    </w:pPr>
    <w:rPr>
      <w:sz w:val="26"/>
      <w:szCs w:val="26"/>
    </w:rPr>
  </w:style>
  <w:style w:type="character" w:customStyle="1" w:styleId="120">
    <w:name w:val="Обычный + 12 пт Знак"/>
    <w:link w:val="12"/>
    <w:rsid w:val="0071245B"/>
    <w:rPr>
      <w:sz w:val="26"/>
      <w:szCs w:val="26"/>
    </w:rPr>
  </w:style>
  <w:style w:type="paragraph" w:styleId="ad">
    <w:name w:val="List Paragraph"/>
    <w:basedOn w:val="a"/>
    <w:uiPriority w:val="34"/>
    <w:qFormat/>
    <w:rsid w:val="001E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1F"/>
    <w:pPr>
      <w:widowControl w:val="0"/>
      <w:spacing w:line="30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443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styleId="a4">
    <w:name w:val="page number"/>
    <w:basedOn w:val="a0"/>
    <w:rsid w:val="004B4439"/>
  </w:style>
  <w:style w:type="paragraph" w:customStyle="1" w:styleId="a5">
    <w:name w:val="Знак Знак Знак Знак Знак Знак Знак Знак Знак Знак"/>
    <w:basedOn w:val="a"/>
    <w:rsid w:val="004B4439"/>
    <w:pPr>
      <w:widowControl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806B5"/>
    <w:rPr>
      <w:rFonts w:ascii="Tahoma" w:hAnsi="Tahoma" w:cs="Tahoma"/>
      <w:sz w:val="16"/>
      <w:szCs w:val="16"/>
    </w:rPr>
  </w:style>
  <w:style w:type="character" w:styleId="a7">
    <w:name w:val="Hyperlink"/>
    <w:rsid w:val="00812761"/>
    <w:rPr>
      <w:color w:val="0000FF"/>
      <w:u w:val="single"/>
    </w:rPr>
  </w:style>
  <w:style w:type="paragraph" w:customStyle="1" w:styleId="ConsPlusCell">
    <w:name w:val="ConsPlusCell"/>
    <w:rsid w:val="00D82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9"/>
    <w:rsid w:val="00CE2DF5"/>
    <w:pPr>
      <w:widowControl/>
      <w:spacing w:line="240" w:lineRule="auto"/>
    </w:pPr>
    <w:rPr>
      <w:b/>
      <w:bCs/>
      <w:sz w:val="28"/>
      <w:szCs w:val="24"/>
    </w:rPr>
  </w:style>
  <w:style w:type="paragraph" w:customStyle="1" w:styleId="ConsPlusNormal">
    <w:name w:val="ConsPlusNormal"/>
    <w:rsid w:val="00CE2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E2DF5"/>
    <w:pPr>
      <w:widowControl/>
      <w:spacing w:line="240" w:lineRule="auto"/>
      <w:ind w:firstLine="567"/>
      <w:jc w:val="both"/>
    </w:pPr>
    <w:rPr>
      <w:sz w:val="24"/>
      <w:szCs w:val="20"/>
    </w:rPr>
  </w:style>
  <w:style w:type="paragraph" w:styleId="aa">
    <w:name w:val="header"/>
    <w:basedOn w:val="a"/>
    <w:rsid w:val="00CE2DF5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styleId="3">
    <w:name w:val="Body Text 3"/>
    <w:basedOn w:val="a"/>
    <w:rsid w:val="00CE2DF5"/>
    <w:pPr>
      <w:widowControl/>
      <w:spacing w:after="120" w:line="240" w:lineRule="auto"/>
    </w:pPr>
    <w:rPr>
      <w:sz w:val="16"/>
      <w:szCs w:val="16"/>
    </w:rPr>
  </w:style>
  <w:style w:type="paragraph" w:styleId="2">
    <w:name w:val="Body Text Indent 2"/>
    <w:basedOn w:val="a"/>
    <w:rsid w:val="00CE2DF5"/>
    <w:pPr>
      <w:widowControl/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CE2DF5"/>
    <w:pPr>
      <w:widowControl/>
      <w:spacing w:after="120" w:line="240" w:lineRule="auto"/>
      <w:ind w:left="283"/>
    </w:pPr>
    <w:rPr>
      <w:sz w:val="16"/>
      <w:szCs w:val="16"/>
    </w:rPr>
  </w:style>
  <w:style w:type="paragraph" w:customStyle="1" w:styleId="20">
    <w:name w:val="Знак2"/>
    <w:basedOn w:val="a"/>
    <w:autoRedefine/>
    <w:rsid w:val="00CE2DF5"/>
    <w:pPr>
      <w:widowControl/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1"/>
    <w:basedOn w:val="a"/>
    <w:rsid w:val="00CE2DF5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2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8"/>
    <w:rsid w:val="00CE2DF5"/>
    <w:rPr>
      <w:b/>
      <w:bCs/>
      <w:sz w:val="28"/>
      <w:szCs w:val="24"/>
      <w:lang w:val="ru-RU" w:eastAsia="ru-RU" w:bidi="ar-SA"/>
    </w:rPr>
  </w:style>
  <w:style w:type="paragraph" w:customStyle="1" w:styleId="ab">
    <w:name w:val="Знак Знак"/>
    <w:basedOn w:val="a"/>
    <w:rsid w:val="00C271A4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3614DC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link w:val="120"/>
    <w:rsid w:val="0071245B"/>
    <w:pPr>
      <w:widowControl/>
      <w:autoSpaceDE w:val="0"/>
      <w:autoSpaceDN w:val="0"/>
      <w:adjustRightInd w:val="0"/>
      <w:spacing w:line="240" w:lineRule="auto"/>
      <w:jc w:val="both"/>
    </w:pPr>
    <w:rPr>
      <w:sz w:val="26"/>
      <w:szCs w:val="26"/>
    </w:rPr>
  </w:style>
  <w:style w:type="character" w:customStyle="1" w:styleId="120">
    <w:name w:val="Обычный + 12 пт Знак"/>
    <w:link w:val="12"/>
    <w:rsid w:val="0071245B"/>
    <w:rPr>
      <w:sz w:val="26"/>
      <w:szCs w:val="26"/>
    </w:rPr>
  </w:style>
  <w:style w:type="paragraph" w:styleId="ad">
    <w:name w:val="List Paragraph"/>
    <w:basedOn w:val="a"/>
    <w:uiPriority w:val="34"/>
    <w:qFormat/>
    <w:rsid w:val="001E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9B66-C29F-497A-8532-99A9CDCF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asfda</dc:creator>
  <cp:lastModifiedBy>Каспорт Дмитрий Александрович</cp:lastModifiedBy>
  <cp:revision>36</cp:revision>
  <cp:lastPrinted>2019-08-19T11:10:00Z</cp:lastPrinted>
  <dcterms:created xsi:type="dcterms:W3CDTF">2017-08-04T06:40:00Z</dcterms:created>
  <dcterms:modified xsi:type="dcterms:W3CDTF">2019-08-20T06:17:00Z</dcterms:modified>
</cp:coreProperties>
</file>