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201</w:t>
      </w:r>
      <w:r w:rsidR="00584B71">
        <w:rPr>
          <w:b/>
          <w:sz w:val="22"/>
          <w:szCs w:val="22"/>
        </w:rPr>
        <w:t>9</w:t>
      </w:r>
      <w:r w:rsidR="004A472A">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4E39D8" w:rsidRPr="0059199F" w:rsidRDefault="004E39D8" w:rsidP="004E39D8">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sidR="00365F8C">
        <w:rPr>
          <w:b/>
        </w:rPr>
        <w:t>20.12.</w:t>
      </w:r>
      <w:r w:rsidRPr="00311E34">
        <w:rPr>
          <w:b/>
        </w:rPr>
        <w:t>2019</w:t>
      </w:r>
    </w:p>
    <w:p w:rsidR="004E39D8" w:rsidRDefault="004E39D8" w:rsidP="004E39D8">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p w:rsidR="001A2273" w:rsidRPr="00F26F7C" w:rsidRDefault="001A2273" w:rsidP="001A2273">
      <w:pPr>
        <w:widowControl w:val="0"/>
        <w:shd w:val="clear" w:color="auto" w:fill="FFFFFF"/>
        <w:tabs>
          <w:tab w:val="left" w:pos="0"/>
        </w:tabs>
        <w:autoSpaceDE w:val="0"/>
        <w:ind w:firstLine="709"/>
        <w:jc w:val="both"/>
        <w:rPr>
          <w:b/>
          <w:sz w:val="22"/>
          <w:szCs w:val="22"/>
        </w:rPr>
      </w:pPr>
      <w:r w:rsidRPr="00F26F7C">
        <w:rPr>
          <w:b/>
          <w:sz w:val="22"/>
          <w:szCs w:val="22"/>
        </w:rPr>
        <w:t>Поставка специальных сре</w:t>
      </w:r>
      <w:proofErr w:type="gramStart"/>
      <w:r w:rsidRPr="00F26F7C">
        <w:rPr>
          <w:b/>
          <w:sz w:val="22"/>
          <w:szCs w:val="22"/>
        </w:rPr>
        <w:t>дств пр</w:t>
      </w:r>
      <w:proofErr w:type="gramEnd"/>
      <w:r w:rsidRPr="00F26F7C">
        <w:rPr>
          <w:b/>
          <w:sz w:val="22"/>
          <w:szCs w:val="22"/>
        </w:rPr>
        <w:t>и нарушениях функций выделения (</w:t>
      </w:r>
      <w:r w:rsidR="00E36A21" w:rsidRPr="00F26F7C">
        <w:rPr>
          <w:b/>
          <w:sz w:val="22"/>
          <w:szCs w:val="22"/>
        </w:rPr>
        <w:t>моче - и калоприемников</w:t>
      </w:r>
      <w:r w:rsidRPr="00F26F7C">
        <w:rPr>
          <w:b/>
          <w:sz w:val="22"/>
          <w:szCs w:val="22"/>
        </w:rPr>
        <w:t>) для обеспечения инвалидов, проживающих на территории Свердловской области, в том числе:</w:t>
      </w:r>
    </w:p>
    <w:p w:rsidR="00F26F7C" w:rsidRPr="00F26F7C" w:rsidRDefault="00F26F7C" w:rsidP="00F26F7C">
      <w:pPr>
        <w:ind w:firstLine="709"/>
        <w:jc w:val="both"/>
        <w:rPr>
          <w:b/>
          <w:sz w:val="22"/>
          <w:szCs w:val="22"/>
        </w:rPr>
      </w:pPr>
      <w:proofErr w:type="gramStart"/>
      <w:r w:rsidRPr="00F26F7C">
        <w:rPr>
          <w:b/>
          <w:sz w:val="22"/>
          <w:szCs w:val="22"/>
        </w:rPr>
        <w:t>в городах Екатеринбург, Березовский, Верхняя Пышма, Новоуральск, Сысерть, Арамиль; в районах г. Екатеринбурга:</w:t>
      </w:r>
      <w:proofErr w:type="gramEnd"/>
      <w:r w:rsidRPr="00F26F7C">
        <w:rPr>
          <w:b/>
          <w:sz w:val="22"/>
          <w:szCs w:val="22"/>
        </w:rPr>
        <w:t xml:space="preserve"> Кировский, Железнодорожный, Орджоникидзевский, </w:t>
      </w:r>
      <w:proofErr w:type="gramStart"/>
      <w:r w:rsidRPr="00F26F7C">
        <w:rPr>
          <w:b/>
          <w:sz w:val="22"/>
          <w:szCs w:val="22"/>
        </w:rPr>
        <w:t>Верх-</w:t>
      </w:r>
      <w:proofErr w:type="spellStart"/>
      <w:r w:rsidRPr="00F26F7C">
        <w:rPr>
          <w:b/>
          <w:sz w:val="22"/>
          <w:szCs w:val="22"/>
        </w:rPr>
        <w:t>Исетский</w:t>
      </w:r>
      <w:proofErr w:type="spellEnd"/>
      <w:proofErr w:type="gramEnd"/>
      <w:r w:rsidRPr="00F26F7C">
        <w:rPr>
          <w:b/>
          <w:sz w:val="22"/>
          <w:szCs w:val="22"/>
        </w:rPr>
        <w:t xml:space="preserve">, </w:t>
      </w:r>
      <w:r w:rsidRPr="00F26F7C">
        <w:rPr>
          <w:b/>
          <w:bCs/>
          <w:sz w:val="22"/>
          <w:szCs w:val="22"/>
        </w:rPr>
        <w:t xml:space="preserve">Октябрьский, Чкаловский, Ленинский; в районах: </w:t>
      </w:r>
      <w:proofErr w:type="spellStart"/>
      <w:r w:rsidRPr="00F26F7C">
        <w:rPr>
          <w:b/>
          <w:bCs/>
          <w:sz w:val="22"/>
          <w:szCs w:val="22"/>
        </w:rPr>
        <w:t>Сысертский</w:t>
      </w:r>
      <w:proofErr w:type="spellEnd"/>
      <w:r w:rsidRPr="00F26F7C">
        <w:rPr>
          <w:b/>
          <w:bCs/>
          <w:sz w:val="22"/>
          <w:szCs w:val="22"/>
        </w:rPr>
        <w:t>.</w:t>
      </w:r>
    </w:p>
    <w:p w:rsidR="005F570E" w:rsidRDefault="005F570E" w:rsidP="004618F1">
      <w:pPr>
        <w:jc w:val="both"/>
        <w:rPr>
          <w:sz w:val="18"/>
          <w:szCs w:val="18"/>
        </w:rPr>
      </w:pPr>
    </w:p>
    <w:p w:rsidR="005F570E" w:rsidRPr="004A472A" w:rsidRDefault="004A472A" w:rsidP="004618F1">
      <w:pPr>
        <w:jc w:val="both"/>
        <w:rPr>
          <w:b/>
        </w:rPr>
      </w:pPr>
      <w:r w:rsidRPr="004A472A">
        <w:rPr>
          <w:b/>
        </w:rPr>
        <w:t xml:space="preserve">Количество: </w:t>
      </w:r>
      <w:r w:rsidR="0096434B">
        <w:rPr>
          <w:b/>
        </w:rPr>
        <w:t>118 520</w:t>
      </w:r>
      <w:r w:rsidRPr="004A472A">
        <w:rPr>
          <w:b/>
        </w:rPr>
        <w:t xml:space="preserve"> штук</w:t>
      </w:r>
    </w:p>
    <w:p w:rsidR="004A472A" w:rsidRDefault="004A472A" w:rsidP="004618F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2878"/>
        <w:gridCol w:w="4524"/>
        <w:gridCol w:w="810"/>
      </w:tblGrid>
      <w:tr w:rsidR="004A472A" w:rsidRPr="001E128C" w:rsidTr="00584B71">
        <w:trPr>
          <w:trHeight w:val="756"/>
        </w:trPr>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jc w:val="center"/>
              <w:rPr>
                <w:b/>
                <w:bCs/>
                <w:sz w:val="22"/>
                <w:szCs w:val="22"/>
              </w:rPr>
            </w:pPr>
            <w:r w:rsidRPr="00107837">
              <w:rPr>
                <w:b/>
                <w:bCs/>
                <w:sz w:val="22"/>
                <w:szCs w:val="22"/>
              </w:rPr>
              <w:lastRenderedPageBreak/>
              <w:t>Номер вида ТСР (изделий)</w:t>
            </w:r>
            <w:r w:rsidRPr="00107837">
              <w:rPr>
                <w:b/>
                <w:bCs/>
                <w:sz w:val="22"/>
                <w:szCs w:val="22"/>
                <w:vertAlign w:val="superscript"/>
              </w:rPr>
              <w:t>*</w:t>
            </w:r>
          </w:p>
        </w:tc>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ind w:right="432"/>
              <w:jc w:val="center"/>
              <w:rPr>
                <w:b/>
                <w:bCs/>
                <w:sz w:val="22"/>
                <w:szCs w:val="22"/>
              </w:rPr>
            </w:pPr>
            <w:r w:rsidRPr="00107837">
              <w:rPr>
                <w:b/>
                <w:bCs/>
                <w:sz w:val="22"/>
                <w:szCs w:val="22"/>
              </w:rPr>
              <w:t>Наименование изделия</w:t>
            </w:r>
          </w:p>
        </w:tc>
        <w:tc>
          <w:tcPr>
            <w:tcW w:w="0" w:type="auto"/>
            <w:tcBorders>
              <w:top w:val="single" w:sz="4" w:space="0" w:color="auto"/>
              <w:bottom w:val="single" w:sz="4" w:space="0" w:color="auto"/>
            </w:tcBorders>
          </w:tcPr>
          <w:p w:rsidR="004A472A" w:rsidRPr="00107837" w:rsidRDefault="004A472A" w:rsidP="00584B71">
            <w:pPr>
              <w:pStyle w:val="4"/>
              <w:tabs>
                <w:tab w:val="left" w:pos="0"/>
              </w:tabs>
              <w:snapToGrid w:val="0"/>
              <w:rPr>
                <w:b/>
                <w:bCs/>
                <w:i w:val="0"/>
                <w:iCs w:val="0"/>
              </w:rPr>
            </w:pPr>
            <w:r w:rsidRPr="00107837">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4A472A" w:rsidRPr="00107837" w:rsidRDefault="004A472A" w:rsidP="00584B71">
            <w:pPr>
              <w:keepNext/>
              <w:tabs>
                <w:tab w:val="left" w:pos="708"/>
              </w:tabs>
              <w:snapToGrid w:val="0"/>
              <w:jc w:val="center"/>
              <w:rPr>
                <w:b/>
                <w:bCs/>
                <w:sz w:val="22"/>
                <w:szCs w:val="22"/>
              </w:rPr>
            </w:pPr>
            <w:r w:rsidRPr="00107837">
              <w:rPr>
                <w:b/>
                <w:bCs/>
                <w:sz w:val="22"/>
                <w:szCs w:val="22"/>
              </w:rPr>
              <w:t>Кол-во, шт.</w:t>
            </w:r>
          </w:p>
        </w:tc>
      </w:tr>
      <w:tr w:rsidR="004A472A" w:rsidRPr="001E128C" w:rsidTr="00584B71">
        <w:trPr>
          <w:trHeight w:val="2487"/>
        </w:trPr>
        <w:tc>
          <w:tcPr>
            <w:tcW w:w="0" w:type="auto"/>
            <w:tcBorders>
              <w:top w:val="single" w:sz="4" w:space="0" w:color="auto"/>
            </w:tcBorders>
          </w:tcPr>
          <w:p w:rsidR="004A472A" w:rsidRPr="001E128C" w:rsidRDefault="004A472A" w:rsidP="00584B71">
            <w:pPr>
              <w:keepNext/>
              <w:snapToGrid w:val="0"/>
              <w:rPr>
                <w:bCs/>
                <w:sz w:val="22"/>
                <w:szCs w:val="22"/>
              </w:rPr>
            </w:pPr>
            <w:r w:rsidRPr="001E128C">
              <w:rPr>
                <w:bCs/>
                <w:sz w:val="22"/>
                <w:szCs w:val="22"/>
              </w:rPr>
              <w:t>21-01-01</w:t>
            </w:r>
          </w:p>
        </w:tc>
        <w:tc>
          <w:tcPr>
            <w:tcW w:w="0" w:type="auto"/>
            <w:tcBorders>
              <w:top w:val="single" w:sz="4" w:space="0" w:color="auto"/>
            </w:tcBorders>
          </w:tcPr>
          <w:p w:rsidR="004A472A" w:rsidRPr="001E128C" w:rsidRDefault="004A472A" w:rsidP="00584B7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584B7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4A472A" w:rsidRPr="001E128C" w:rsidRDefault="00797C99" w:rsidP="00584B71">
            <w:pPr>
              <w:jc w:val="center"/>
              <w:rPr>
                <w:color w:val="000000"/>
                <w:sz w:val="22"/>
                <w:szCs w:val="22"/>
              </w:rPr>
            </w:pPr>
            <w:r>
              <w:rPr>
                <w:color w:val="000000"/>
                <w:sz w:val="22"/>
                <w:szCs w:val="22"/>
              </w:rPr>
              <w:t>16900</w:t>
            </w:r>
          </w:p>
        </w:tc>
      </w:tr>
      <w:tr w:rsidR="004A472A" w:rsidRPr="001E128C" w:rsidTr="00584B71">
        <w:trPr>
          <w:trHeight w:val="2487"/>
        </w:trPr>
        <w:tc>
          <w:tcPr>
            <w:tcW w:w="0" w:type="auto"/>
          </w:tcPr>
          <w:p w:rsidR="004A472A" w:rsidRPr="001E128C" w:rsidRDefault="004A472A" w:rsidP="00584B71">
            <w:pPr>
              <w:keepNext/>
              <w:snapToGrid w:val="0"/>
              <w:rPr>
                <w:bCs/>
                <w:sz w:val="22"/>
                <w:szCs w:val="22"/>
              </w:rPr>
            </w:pPr>
            <w:r w:rsidRPr="001E128C">
              <w:rPr>
                <w:bCs/>
                <w:sz w:val="22"/>
                <w:szCs w:val="22"/>
              </w:rPr>
              <w:t>21-01-01</w:t>
            </w:r>
          </w:p>
        </w:tc>
        <w:tc>
          <w:tcPr>
            <w:tcW w:w="0" w:type="auto"/>
          </w:tcPr>
          <w:p w:rsidR="004A472A" w:rsidRDefault="004A472A" w:rsidP="00584B7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4A472A" w:rsidRPr="001E128C" w:rsidRDefault="004A472A" w:rsidP="00584B71">
            <w:pPr>
              <w:keepNext/>
              <w:snapToGrid w:val="0"/>
              <w:rPr>
                <w:bCs/>
                <w:sz w:val="22"/>
                <w:szCs w:val="22"/>
              </w:rPr>
            </w:pPr>
            <w:r w:rsidRPr="001E128C">
              <w:rPr>
                <w:b/>
                <w:bCs/>
                <w:sz w:val="22"/>
                <w:szCs w:val="22"/>
              </w:rPr>
              <w:t>(с фильтром)</w:t>
            </w:r>
          </w:p>
        </w:tc>
        <w:tc>
          <w:tcPr>
            <w:tcW w:w="0" w:type="auto"/>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584B71">
            <w:pPr>
              <w:keepNext/>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2200</w:t>
            </w:r>
          </w:p>
        </w:tc>
      </w:tr>
      <w:tr w:rsidR="004A472A" w:rsidRPr="001E128C" w:rsidTr="00584B71">
        <w:trPr>
          <w:trHeight w:val="2463"/>
        </w:trPr>
        <w:tc>
          <w:tcPr>
            <w:tcW w:w="0" w:type="auto"/>
          </w:tcPr>
          <w:p w:rsidR="004A472A" w:rsidRPr="001E128C" w:rsidRDefault="004A472A" w:rsidP="00584B71">
            <w:pPr>
              <w:keepNext/>
              <w:snapToGrid w:val="0"/>
              <w:rPr>
                <w:bCs/>
                <w:sz w:val="22"/>
                <w:szCs w:val="22"/>
              </w:rPr>
            </w:pPr>
            <w:r w:rsidRPr="001E128C">
              <w:rPr>
                <w:bCs/>
                <w:sz w:val="22"/>
                <w:szCs w:val="22"/>
              </w:rPr>
              <w:t>21-01-02</w:t>
            </w:r>
          </w:p>
        </w:tc>
        <w:tc>
          <w:tcPr>
            <w:tcW w:w="0" w:type="auto"/>
          </w:tcPr>
          <w:p w:rsidR="004A472A" w:rsidRPr="001E128C" w:rsidRDefault="004A472A" w:rsidP="00584B7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4A472A" w:rsidRPr="001E128C" w:rsidRDefault="004A472A" w:rsidP="00584B71">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584B71">
            <w:pPr>
              <w:keepNext/>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900</w:t>
            </w:r>
          </w:p>
        </w:tc>
      </w:tr>
      <w:tr w:rsidR="004A472A" w:rsidRPr="001E128C" w:rsidTr="00584B71">
        <w:trPr>
          <w:trHeight w:val="2463"/>
        </w:trPr>
        <w:tc>
          <w:tcPr>
            <w:tcW w:w="0" w:type="auto"/>
          </w:tcPr>
          <w:p w:rsidR="004A472A" w:rsidRPr="001E128C" w:rsidRDefault="004A472A" w:rsidP="00584B71">
            <w:pPr>
              <w:keepNext/>
              <w:snapToGrid w:val="0"/>
              <w:jc w:val="both"/>
              <w:rPr>
                <w:bCs/>
                <w:sz w:val="22"/>
                <w:szCs w:val="22"/>
              </w:rPr>
            </w:pPr>
            <w:r w:rsidRPr="001E128C">
              <w:rPr>
                <w:bCs/>
                <w:sz w:val="22"/>
                <w:szCs w:val="22"/>
              </w:rPr>
              <w:t>21-01-03</w:t>
            </w:r>
          </w:p>
        </w:tc>
        <w:tc>
          <w:tcPr>
            <w:tcW w:w="0" w:type="auto"/>
          </w:tcPr>
          <w:p w:rsidR="004A472A" w:rsidRPr="001E128C" w:rsidRDefault="004A472A" w:rsidP="00584B7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4A472A" w:rsidRPr="001E128C" w:rsidRDefault="004A472A" w:rsidP="00584B71">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Default="004A472A" w:rsidP="00584B71">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584B71">
            <w:pPr>
              <w:keepNext/>
              <w:jc w:val="both"/>
              <w:rPr>
                <w:sz w:val="22"/>
                <w:szCs w:val="22"/>
              </w:rPr>
            </w:pPr>
            <w:r w:rsidRPr="001E128C">
              <w:rPr>
                <w:sz w:val="22"/>
                <w:szCs w:val="22"/>
              </w:rPr>
              <w:t xml:space="preserve"> </w:t>
            </w:r>
          </w:p>
        </w:tc>
        <w:tc>
          <w:tcPr>
            <w:tcW w:w="0" w:type="auto"/>
            <w:vAlign w:val="center"/>
          </w:tcPr>
          <w:p w:rsidR="004A472A" w:rsidRPr="001E128C" w:rsidRDefault="00797C99" w:rsidP="00584B71">
            <w:pPr>
              <w:jc w:val="center"/>
              <w:rPr>
                <w:color w:val="000000"/>
                <w:sz w:val="22"/>
                <w:szCs w:val="22"/>
              </w:rPr>
            </w:pPr>
            <w:r>
              <w:rPr>
                <w:color w:val="000000"/>
                <w:sz w:val="22"/>
                <w:szCs w:val="22"/>
              </w:rPr>
              <w:t>1700</w:t>
            </w:r>
          </w:p>
        </w:tc>
      </w:tr>
      <w:tr w:rsidR="004A472A" w:rsidRPr="001E128C" w:rsidTr="00584B71">
        <w:trPr>
          <w:trHeight w:val="2297"/>
        </w:trPr>
        <w:tc>
          <w:tcPr>
            <w:tcW w:w="0" w:type="auto"/>
          </w:tcPr>
          <w:p w:rsidR="004A472A" w:rsidRPr="001E128C" w:rsidRDefault="004A472A" w:rsidP="00584B71">
            <w:pPr>
              <w:keepNext/>
              <w:tabs>
                <w:tab w:val="left" w:pos="708"/>
              </w:tabs>
              <w:snapToGrid w:val="0"/>
              <w:jc w:val="both"/>
              <w:rPr>
                <w:bCs/>
                <w:sz w:val="22"/>
                <w:szCs w:val="22"/>
              </w:rPr>
            </w:pPr>
            <w:r w:rsidRPr="001E128C">
              <w:rPr>
                <w:bCs/>
                <w:sz w:val="22"/>
                <w:szCs w:val="22"/>
              </w:rPr>
              <w:t>21-01-05</w:t>
            </w:r>
          </w:p>
        </w:tc>
        <w:tc>
          <w:tcPr>
            <w:tcW w:w="0" w:type="auto"/>
          </w:tcPr>
          <w:p w:rsidR="004A472A" w:rsidRPr="001E128C" w:rsidRDefault="004A472A" w:rsidP="00584B7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4A472A" w:rsidRPr="001E128C" w:rsidRDefault="004A472A" w:rsidP="004E39D8">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4A472A" w:rsidRPr="001E128C" w:rsidRDefault="00797C99" w:rsidP="00584B71">
            <w:pPr>
              <w:jc w:val="center"/>
              <w:rPr>
                <w:color w:val="000000"/>
                <w:sz w:val="22"/>
                <w:szCs w:val="22"/>
              </w:rPr>
            </w:pPr>
            <w:r>
              <w:rPr>
                <w:color w:val="000000"/>
                <w:sz w:val="22"/>
                <w:szCs w:val="22"/>
              </w:rPr>
              <w:t>180</w:t>
            </w:r>
          </w:p>
        </w:tc>
      </w:tr>
      <w:tr w:rsidR="004A472A" w:rsidRPr="001E128C" w:rsidTr="004A472A">
        <w:trPr>
          <w:trHeight w:val="2479"/>
        </w:trPr>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lastRenderedPageBreak/>
              <w:t xml:space="preserve">21-01-07 </w:t>
            </w:r>
          </w:p>
        </w:tc>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Адгезивная пластина, плоская</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Мешок дренируемый</w:t>
            </w:r>
          </w:p>
        </w:tc>
        <w:tc>
          <w:tcPr>
            <w:tcW w:w="0" w:type="auto"/>
            <w:vMerge w:val="restart"/>
          </w:tcPr>
          <w:p w:rsidR="004A472A" w:rsidRPr="001E128C" w:rsidRDefault="004A472A" w:rsidP="00584B7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584B71">
            <w:pPr>
              <w:pStyle w:val="21"/>
              <w:jc w:val="both"/>
              <w:rPr>
                <w:bCs/>
                <w:sz w:val="16"/>
                <w:szCs w:val="16"/>
              </w:rPr>
            </w:pPr>
          </w:p>
          <w:p w:rsidR="004A472A" w:rsidRPr="001E128C" w:rsidRDefault="004A472A" w:rsidP="00584B7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4A472A" w:rsidRPr="001E128C" w:rsidRDefault="004A472A" w:rsidP="00584B71">
            <w:pPr>
              <w:pStyle w:val="21"/>
              <w:jc w:val="both"/>
              <w:rPr>
                <w:sz w:val="16"/>
                <w:szCs w:val="16"/>
              </w:rPr>
            </w:pPr>
          </w:p>
          <w:p w:rsidR="004A472A" w:rsidRDefault="004A472A" w:rsidP="00584B71">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584B71">
            <w:pPr>
              <w:pStyle w:val="21"/>
              <w:jc w:val="both"/>
            </w:pPr>
          </w:p>
          <w:p w:rsidR="004A472A" w:rsidRDefault="004A472A" w:rsidP="00584B71">
            <w:pPr>
              <w:pStyle w:val="21"/>
              <w:jc w:val="both"/>
            </w:pPr>
          </w:p>
          <w:p w:rsidR="004A472A" w:rsidRPr="001E128C" w:rsidRDefault="004A472A" w:rsidP="00584B71">
            <w:pPr>
              <w:pStyle w:val="21"/>
              <w:jc w:val="both"/>
            </w:pPr>
          </w:p>
        </w:tc>
        <w:tc>
          <w:tcPr>
            <w:tcW w:w="0" w:type="auto"/>
            <w:vAlign w:val="center"/>
          </w:tcPr>
          <w:p w:rsidR="004A472A" w:rsidRPr="001E128C" w:rsidRDefault="00797C99" w:rsidP="00584B71">
            <w:pPr>
              <w:jc w:val="center"/>
              <w:rPr>
                <w:color w:val="000000"/>
                <w:sz w:val="22"/>
                <w:szCs w:val="22"/>
              </w:rPr>
            </w:pPr>
            <w:r>
              <w:rPr>
                <w:color w:val="000000"/>
                <w:sz w:val="22"/>
                <w:szCs w:val="22"/>
              </w:rPr>
              <w:t>1200</w:t>
            </w:r>
          </w:p>
        </w:tc>
      </w:tr>
      <w:tr w:rsidR="004A472A" w:rsidRPr="001E128C" w:rsidTr="00584B71">
        <w:trPr>
          <w:trHeight w:val="1545"/>
        </w:trPr>
        <w:tc>
          <w:tcPr>
            <w:tcW w:w="0" w:type="auto"/>
            <w:vMerge/>
          </w:tcPr>
          <w:p w:rsidR="004A472A" w:rsidRPr="001E128C" w:rsidRDefault="004A472A" w:rsidP="00584B71">
            <w:pPr>
              <w:keepNext/>
              <w:tabs>
                <w:tab w:val="left" w:pos="708"/>
              </w:tabs>
              <w:snapToGrid w:val="0"/>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797C99" w:rsidP="00584B71">
            <w:pPr>
              <w:jc w:val="center"/>
              <w:rPr>
                <w:color w:val="000000"/>
                <w:sz w:val="22"/>
                <w:szCs w:val="22"/>
              </w:rPr>
            </w:pPr>
            <w:r>
              <w:rPr>
                <w:color w:val="000000"/>
                <w:sz w:val="22"/>
                <w:szCs w:val="22"/>
              </w:rPr>
              <w:t>3600</w:t>
            </w:r>
          </w:p>
        </w:tc>
      </w:tr>
      <w:tr w:rsidR="004A472A" w:rsidRPr="001E128C" w:rsidTr="00584B71">
        <w:trPr>
          <w:trHeight w:val="2612"/>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t>21-01-08</w:t>
            </w:r>
          </w:p>
        </w:tc>
        <w:tc>
          <w:tcPr>
            <w:tcW w:w="0" w:type="auto"/>
            <w:vMerge w:val="restart"/>
          </w:tcPr>
          <w:p w:rsidR="004A472A" w:rsidRPr="001E128C" w:rsidRDefault="004A472A" w:rsidP="00584B7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4A472A" w:rsidRPr="001E128C" w:rsidRDefault="004A472A" w:rsidP="00584B7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584B71">
            <w:pPr>
              <w:pStyle w:val="21"/>
              <w:jc w:val="both"/>
            </w:pPr>
          </w:p>
          <w:p w:rsidR="004A472A" w:rsidRPr="001E128C" w:rsidRDefault="004A472A" w:rsidP="00584B7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584B71">
            <w:pPr>
              <w:pStyle w:val="21"/>
              <w:jc w:val="both"/>
              <w:rPr>
                <w:sz w:val="16"/>
                <w:szCs w:val="16"/>
              </w:rPr>
            </w:pPr>
          </w:p>
          <w:p w:rsidR="004A472A" w:rsidRDefault="004A472A" w:rsidP="00584B7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584B71">
            <w:pPr>
              <w:keepNext/>
              <w:tabs>
                <w:tab w:val="left" w:pos="33"/>
              </w:tabs>
              <w:ind w:firstLine="33"/>
              <w:jc w:val="both"/>
              <w:rPr>
                <w:sz w:val="22"/>
                <w:szCs w:val="22"/>
              </w:rPr>
            </w:pPr>
          </w:p>
          <w:p w:rsidR="004A472A" w:rsidRPr="001E128C" w:rsidRDefault="004A472A" w:rsidP="00584B7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4A472A" w:rsidRPr="001E128C" w:rsidRDefault="00797C99" w:rsidP="004A472A">
            <w:pPr>
              <w:jc w:val="center"/>
              <w:rPr>
                <w:color w:val="000000"/>
                <w:sz w:val="22"/>
                <w:szCs w:val="22"/>
              </w:rPr>
            </w:pPr>
            <w:r>
              <w:rPr>
                <w:color w:val="000000"/>
                <w:sz w:val="22"/>
                <w:szCs w:val="22"/>
              </w:rPr>
              <w:t>600</w:t>
            </w:r>
          </w:p>
        </w:tc>
      </w:tr>
      <w:tr w:rsidR="004A472A" w:rsidRPr="001E128C" w:rsidTr="00584B71">
        <w:trPr>
          <w:trHeight w:val="1400"/>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797C99" w:rsidP="00584B71">
            <w:pPr>
              <w:jc w:val="center"/>
              <w:rPr>
                <w:color w:val="000000"/>
                <w:sz w:val="22"/>
                <w:szCs w:val="22"/>
              </w:rPr>
            </w:pPr>
            <w:r>
              <w:rPr>
                <w:color w:val="000000"/>
                <w:sz w:val="22"/>
                <w:szCs w:val="22"/>
              </w:rPr>
              <w:t>1800</w:t>
            </w:r>
          </w:p>
        </w:tc>
      </w:tr>
      <w:tr w:rsidR="004A472A" w:rsidRPr="001E128C" w:rsidTr="00797C99">
        <w:trPr>
          <w:trHeight w:val="558"/>
        </w:trPr>
        <w:tc>
          <w:tcPr>
            <w:tcW w:w="0" w:type="auto"/>
            <w:vMerge w:val="restart"/>
          </w:tcPr>
          <w:p w:rsidR="004A472A" w:rsidRPr="001E128C" w:rsidRDefault="004A472A" w:rsidP="00584B71">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4A472A" w:rsidRPr="001E128C" w:rsidRDefault="004A472A" w:rsidP="00584B7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r w:rsidRPr="001E128C">
              <w:rPr>
                <w:bCs/>
                <w:sz w:val="22"/>
                <w:szCs w:val="22"/>
              </w:rPr>
              <w:t>Адгезивная пластина, плоская</w:t>
            </w: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p>
          <w:p w:rsidR="004A472A" w:rsidRPr="001E128C" w:rsidRDefault="004A472A" w:rsidP="00584B7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584B71">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4A472A" w:rsidRPr="001E128C" w:rsidRDefault="004A472A" w:rsidP="00584B71">
            <w:pPr>
              <w:keepNext/>
              <w:snapToGrid w:val="0"/>
              <w:jc w:val="both"/>
              <w:rPr>
                <w:sz w:val="16"/>
                <w:szCs w:val="16"/>
              </w:rPr>
            </w:pPr>
          </w:p>
          <w:p w:rsidR="004A472A" w:rsidRPr="001E128C" w:rsidRDefault="004A472A" w:rsidP="00584B7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584B71">
            <w:pPr>
              <w:keepNext/>
              <w:snapToGrid w:val="0"/>
              <w:jc w:val="both"/>
              <w:rPr>
                <w:sz w:val="16"/>
                <w:szCs w:val="16"/>
              </w:rPr>
            </w:pPr>
          </w:p>
          <w:p w:rsidR="004E39D8" w:rsidRDefault="004A472A" w:rsidP="004E39D8">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Pr="004E39D8" w:rsidRDefault="004A472A" w:rsidP="004E39D8">
            <w:pPr>
              <w:rPr>
                <w:sz w:val="22"/>
                <w:szCs w:val="22"/>
              </w:rPr>
            </w:pPr>
          </w:p>
        </w:tc>
        <w:tc>
          <w:tcPr>
            <w:tcW w:w="0" w:type="auto"/>
            <w:tcBorders>
              <w:top w:val="single" w:sz="4" w:space="0" w:color="auto"/>
              <w:bottom w:val="single" w:sz="4" w:space="0" w:color="auto"/>
            </w:tcBorders>
            <w:vAlign w:val="center"/>
          </w:tcPr>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E39D8" w:rsidRDefault="004E39D8" w:rsidP="00584B71">
            <w:pPr>
              <w:jc w:val="center"/>
              <w:rPr>
                <w:color w:val="000000"/>
                <w:sz w:val="22"/>
                <w:szCs w:val="22"/>
              </w:rPr>
            </w:pPr>
          </w:p>
          <w:p w:rsidR="004A472A" w:rsidRDefault="00797C99" w:rsidP="004E39D8">
            <w:pPr>
              <w:rPr>
                <w:color w:val="000000"/>
                <w:sz w:val="22"/>
                <w:szCs w:val="22"/>
              </w:rPr>
            </w:pPr>
            <w:r>
              <w:rPr>
                <w:color w:val="000000"/>
                <w:sz w:val="22"/>
                <w:szCs w:val="22"/>
              </w:rPr>
              <w:t>1000</w:t>
            </w:r>
          </w:p>
          <w:p w:rsidR="004E39D8" w:rsidRDefault="004E39D8" w:rsidP="00584B71">
            <w:pPr>
              <w:jc w:val="center"/>
              <w:rPr>
                <w:color w:val="000000"/>
                <w:sz w:val="22"/>
                <w:szCs w:val="22"/>
              </w:rPr>
            </w:pPr>
          </w:p>
          <w:p w:rsidR="004E39D8" w:rsidRDefault="004E39D8" w:rsidP="004E39D8">
            <w:pPr>
              <w:rPr>
                <w:color w:val="000000"/>
                <w:sz w:val="22"/>
                <w:szCs w:val="22"/>
              </w:rPr>
            </w:pPr>
          </w:p>
          <w:p w:rsidR="004E39D8" w:rsidRDefault="004E39D8" w:rsidP="00584B71">
            <w:pPr>
              <w:jc w:val="center"/>
              <w:rPr>
                <w:color w:val="000000"/>
                <w:sz w:val="22"/>
                <w:szCs w:val="22"/>
              </w:rPr>
            </w:pPr>
          </w:p>
          <w:p w:rsidR="004E39D8" w:rsidRPr="001E128C" w:rsidRDefault="004E39D8" w:rsidP="00584B71">
            <w:pPr>
              <w:jc w:val="center"/>
              <w:rPr>
                <w:color w:val="000000"/>
                <w:sz w:val="22"/>
                <w:szCs w:val="22"/>
              </w:rPr>
            </w:pPr>
          </w:p>
        </w:tc>
      </w:tr>
      <w:tr w:rsidR="004A472A" w:rsidRPr="001E128C" w:rsidTr="00584B71">
        <w:trPr>
          <w:trHeight w:val="1500"/>
        </w:trPr>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snapToGrid w:val="0"/>
              <w:jc w:val="both"/>
              <w:rPr>
                <w:sz w:val="22"/>
                <w:szCs w:val="22"/>
              </w:rPr>
            </w:pPr>
          </w:p>
        </w:tc>
        <w:tc>
          <w:tcPr>
            <w:tcW w:w="0" w:type="auto"/>
            <w:tcBorders>
              <w:top w:val="single" w:sz="4" w:space="0" w:color="auto"/>
              <w:bottom w:val="single" w:sz="4" w:space="0" w:color="auto"/>
            </w:tcBorders>
            <w:vAlign w:val="center"/>
          </w:tcPr>
          <w:p w:rsidR="004E39D8" w:rsidRDefault="004E39D8" w:rsidP="004E39D8">
            <w:pPr>
              <w:rPr>
                <w:color w:val="000000"/>
                <w:sz w:val="22"/>
                <w:szCs w:val="22"/>
              </w:rPr>
            </w:pPr>
          </w:p>
          <w:p w:rsidR="004E39D8" w:rsidRDefault="004E39D8" w:rsidP="00584B71">
            <w:pPr>
              <w:jc w:val="center"/>
              <w:rPr>
                <w:color w:val="000000"/>
                <w:sz w:val="22"/>
                <w:szCs w:val="22"/>
              </w:rPr>
            </w:pPr>
          </w:p>
          <w:p w:rsidR="004A472A" w:rsidRPr="001E128C" w:rsidRDefault="00797C99" w:rsidP="00584B71">
            <w:pPr>
              <w:jc w:val="center"/>
              <w:rPr>
                <w:color w:val="000000"/>
                <w:sz w:val="22"/>
                <w:szCs w:val="22"/>
              </w:rPr>
            </w:pPr>
            <w:r>
              <w:rPr>
                <w:color w:val="000000"/>
                <w:sz w:val="22"/>
                <w:szCs w:val="22"/>
              </w:rPr>
              <w:t>6000</w:t>
            </w:r>
          </w:p>
        </w:tc>
      </w:tr>
      <w:tr w:rsidR="004A472A" w:rsidRPr="001E128C" w:rsidTr="004A472A">
        <w:trPr>
          <w:trHeight w:val="3268"/>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lastRenderedPageBreak/>
              <w:t>21-01-10</w:t>
            </w:r>
          </w:p>
        </w:tc>
        <w:tc>
          <w:tcPr>
            <w:tcW w:w="0" w:type="auto"/>
            <w:vMerge w:val="restart"/>
          </w:tcPr>
          <w:p w:rsidR="004A472A" w:rsidRPr="001E128C" w:rsidRDefault="004A472A" w:rsidP="00584B71">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Pr="001E128C"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p>
          <w:p w:rsidR="004A472A" w:rsidRPr="001E128C" w:rsidRDefault="004A472A" w:rsidP="00584B71">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584B71">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4A472A" w:rsidRPr="001E128C" w:rsidRDefault="004A472A" w:rsidP="00584B71">
            <w:pPr>
              <w:pStyle w:val="21"/>
              <w:jc w:val="both"/>
              <w:rPr>
                <w:sz w:val="16"/>
                <w:szCs w:val="16"/>
              </w:rPr>
            </w:pPr>
          </w:p>
          <w:p w:rsidR="004A472A" w:rsidRDefault="004A472A" w:rsidP="00584B7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584B71">
            <w:pPr>
              <w:pStyle w:val="21"/>
              <w:jc w:val="both"/>
              <w:rPr>
                <w:sz w:val="16"/>
                <w:szCs w:val="16"/>
              </w:rPr>
            </w:pPr>
          </w:p>
          <w:p w:rsidR="004A472A" w:rsidRDefault="004A472A" w:rsidP="00584B71">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584B71">
            <w:pPr>
              <w:keepNext/>
              <w:tabs>
                <w:tab w:val="left" w:pos="708"/>
              </w:tabs>
              <w:snapToGrid w:val="0"/>
              <w:jc w:val="both"/>
              <w:rPr>
                <w:sz w:val="22"/>
                <w:szCs w:val="22"/>
              </w:rPr>
            </w:pPr>
          </w:p>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797C99" w:rsidP="00584B71">
            <w:pPr>
              <w:jc w:val="center"/>
              <w:rPr>
                <w:color w:val="000000"/>
                <w:sz w:val="22"/>
                <w:szCs w:val="22"/>
              </w:rPr>
            </w:pPr>
            <w:r>
              <w:rPr>
                <w:color w:val="000000"/>
                <w:sz w:val="22"/>
                <w:szCs w:val="22"/>
              </w:rPr>
              <w:t>100</w:t>
            </w:r>
          </w:p>
        </w:tc>
      </w:tr>
      <w:tr w:rsidR="004A472A" w:rsidRPr="001E128C" w:rsidTr="00584B71">
        <w:trPr>
          <w:trHeight w:val="1408"/>
        </w:trPr>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584B71">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797C99" w:rsidP="00584B71">
            <w:pPr>
              <w:jc w:val="center"/>
              <w:rPr>
                <w:color w:val="000000"/>
                <w:sz w:val="22"/>
                <w:szCs w:val="22"/>
              </w:rPr>
            </w:pPr>
            <w:r>
              <w:rPr>
                <w:color w:val="000000"/>
                <w:sz w:val="22"/>
                <w:szCs w:val="22"/>
              </w:rPr>
              <w:t>600</w:t>
            </w:r>
          </w:p>
        </w:tc>
      </w:tr>
      <w:tr w:rsidR="004A472A" w:rsidRPr="001E128C" w:rsidTr="00584B71">
        <w:trPr>
          <w:trHeight w:val="1694"/>
        </w:trPr>
        <w:tc>
          <w:tcPr>
            <w:tcW w:w="0" w:type="auto"/>
            <w:vMerge w:val="restart"/>
            <w:tcBorders>
              <w:top w:val="single" w:sz="4" w:space="0" w:color="auto"/>
            </w:tcBorders>
          </w:tcPr>
          <w:p w:rsidR="004A472A" w:rsidRPr="001E128C" w:rsidRDefault="004A472A" w:rsidP="00584B71">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4A472A" w:rsidRPr="001E128C" w:rsidRDefault="004A472A" w:rsidP="00584B7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Адгезивная пластина, плоская</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4A472A" w:rsidRPr="001E128C" w:rsidRDefault="004A472A" w:rsidP="00584B7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1E128C" w:rsidRDefault="004A472A" w:rsidP="00584B71">
            <w:pPr>
              <w:jc w:val="both"/>
              <w:rPr>
                <w:bCs/>
                <w:sz w:val="16"/>
                <w:szCs w:val="16"/>
              </w:rPr>
            </w:pPr>
          </w:p>
          <w:p w:rsidR="004A472A" w:rsidRDefault="004A472A" w:rsidP="00584B7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584B71">
            <w:pPr>
              <w:jc w:val="both"/>
              <w:rPr>
                <w:sz w:val="16"/>
                <w:szCs w:val="16"/>
              </w:rPr>
            </w:pPr>
          </w:p>
          <w:p w:rsidR="004A472A" w:rsidRPr="001E128C" w:rsidRDefault="004A472A" w:rsidP="0011112A">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tc>
        <w:tc>
          <w:tcPr>
            <w:tcW w:w="0" w:type="auto"/>
            <w:tcBorders>
              <w:top w:val="single" w:sz="4" w:space="0" w:color="auto"/>
            </w:tcBorders>
            <w:vAlign w:val="center"/>
          </w:tcPr>
          <w:p w:rsidR="004A472A" w:rsidRPr="001E128C" w:rsidRDefault="00797C99" w:rsidP="00584B71">
            <w:pPr>
              <w:jc w:val="center"/>
              <w:rPr>
                <w:color w:val="000000"/>
                <w:sz w:val="22"/>
                <w:szCs w:val="22"/>
              </w:rPr>
            </w:pPr>
            <w:r>
              <w:rPr>
                <w:color w:val="000000"/>
                <w:sz w:val="22"/>
                <w:szCs w:val="22"/>
              </w:rPr>
              <w:t>1300</w:t>
            </w:r>
          </w:p>
        </w:tc>
      </w:tr>
      <w:tr w:rsidR="004A472A" w:rsidRPr="001E128C" w:rsidTr="00584B71">
        <w:trPr>
          <w:trHeight w:val="1621"/>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3900</w:t>
            </w:r>
          </w:p>
        </w:tc>
      </w:tr>
      <w:tr w:rsidR="004A472A" w:rsidRPr="001E128C" w:rsidTr="00584B71">
        <w:trPr>
          <w:trHeight w:val="2888"/>
        </w:trPr>
        <w:tc>
          <w:tcPr>
            <w:tcW w:w="0" w:type="auto"/>
            <w:vMerge w:val="restart"/>
          </w:tcPr>
          <w:p w:rsidR="004A472A" w:rsidRPr="001E128C" w:rsidRDefault="004A472A" w:rsidP="00584B71">
            <w:pPr>
              <w:keepNext/>
              <w:tabs>
                <w:tab w:val="left" w:pos="708"/>
              </w:tabs>
              <w:snapToGrid w:val="0"/>
              <w:jc w:val="both"/>
              <w:rPr>
                <w:bCs/>
                <w:sz w:val="22"/>
                <w:szCs w:val="22"/>
              </w:rPr>
            </w:pPr>
            <w:r w:rsidRPr="001E128C">
              <w:rPr>
                <w:bCs/>
                <w:sz w:val="22"/>
                <w:szCs w:val="22"/>
              </w:rPr>
              <w:t>21-01-12</w:t>
            </w:r>
          </w:p>
        </w:tc>
        <w:tc>
          <w:tcPr>
            <w:tcW w:w="0" w:type="auto"/>
            <w:vMerge w:val="restart"/>
          </w:tcPr>
          <w:p w:rsidR="004A472A" w:rsidRPr="001E128C" w:rsidRDefault="004A472A" w:rsidP="00584B7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
          <w:p w:rsidR="004A472A" w:rsidRPr="001E128C" w:rsidRDefault="004A472A" w:rsidP="00584B7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4A472A" w:rsidRPr="001E128C" w:rsidRDefault="004A472A" w:rsidP="00584B71">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BC5F39" w:rsidRDefault="004A472A" w:rsidP="00584B71">
            <w:pPr>
              <w:jc w:val="both"/>
              <w:rPr>
                <w:bCs/>
                <w:sz w:val="16"/>
                <w:szCs w:val="16"/>
              </w:rPr>
            </w:pPr>
          </w:p>
          <w:p w:rsidR="004A472A" w:rsidRDefault="004A472A" w:rsidP="00584B7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xml:space="preserve">, с фланцем для крепления мешка,  соответствующим фланцу </w:t>
            </w:r>
            <w:r w:rsidRPr="001E128C">
              <w:rPr>
                <w:sz w:val="22"/>
                <w:szCs w:val="22"/>
              </w:rPr>
              <w:lastRenderedPageBreak/>
              <w:t>мешка;</w:t>
            </w:r>
            <w:proofErr w:type="gramEnd"/>
          </w:p>
          <w:p w:rsidR="004A472A" w:rsidRPr="00BC5F39" w:rsidRDefault="004A472A" w:rsidP="00584B71">
            <w:pPr>
              <w:jc w:val="both"/>
              <w:rPr>
                <w:sz w:val="16"/>
                <w:szCs w:val="16"/>
              </w:rPr>
            </w:pPr>
          </w:p>
          <w:p w:rsidR="004A472A" w:rsidRDefault="004A472A" w:rsidP="00584B7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4A472A" w:rsidRDefault="004A472A" w:rsidP="00584B71">
            <w:pPr>
              <w:jc w:val="both"/>
              <w:rPr>
                <w:sz w:val="22"/>
                <w:szCs w:val="22"/>
              </w:rPr>
            </w:pPr>
          </w:p>
          <w:p w:rsidR="004A472A" w:rsidRDefault="004A472A" w:rsidP="00584B71">
            <w:pPr>
              <w:jc w:val="both"/>
              <w:rPr>
                <w:sz w:val="22"/>
                <w:szCs w:val="22"/>
              </w:rPr>
            </w:pPr>
          </w:p>
          <w:p w:rsidR="004A472A" w:rsidRPr="001E128C" w:rsidRDefault="004A472A" w:rsidP="00584B71">
            <w:pPr>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lastRenderedPageBreak/>
              <w:t>50</w:t>
            </w:r>
          </w:p>
        </w:tc>
      </w:tr>
      <w:tr w:rsidR="004A472A" w:rsidRPr="001E128C" w:rsidTr="00584B71">
        <w:trPr>
          <w:trHeight w:val="1772"/>
        </w:trPr>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bCs/>
                <w:sz w:val="22"/>
                <w:szCs w:val="22"/>
              </w:rPr>
            </w:pPr>
          </w:p>
        </w:tc>
        <w:tc>
          <w:tcPr>
            <w:tcW w:w="0" w:type="auto"/>
            <w:vMerge/>
          </w:tcPr>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150</w:t>
            </w:r>
          </w:p>
        </w:tc>
      </w:tr>
      <w:tr w:rsidR="004A472A" w:rsidRPr="001E128C" w:rsidTr="00584B71">
        <w:trPr>
          <w:trHeight w:val="766"/>
        </w:trPr>
        <w:tc>
          <w:tcPr>
            <w:tcW w:w="0" w:type="auto"/>
          </w:tcPr>
          <w:p w:rsidR="004A472A" w:rsidRPr="001E128C" w:rsidRDefault="004A472A" w:rsidP="00584B71">
            <w:pPr>
              <w:keepNext/>
              <w:tabs>
                <w:tab w:val="left" w:pos="708"/>
              </w:tabs>
              <w:snapToGrid w:val="0"/>
              <w:jc w:val="both"/>
              <w:rPr>
                <w:sz w:val="22"/>
                <w:szCs w:val="22"/>
              </w:rPr>
            </w:pPr>
            <w:r w:rsidRPr="001E128C">
              <w:rPr>
                <w:sz w:val="22"/>
                <w:szCs w:val="22"/>
              </w:rPr>
              <w:lastRenderedPageBreak/>
              <w:t>21-01-13</w:t>
            </w:r>
          </w:p>
        </w:tc>
        <w:tc>
          <w:tcPr>
            <w:tcW w:w="0" w:type="auto"/>
          </w:tcPr>
          <w:p w:rsidR="004A472A" w:rsidRPr="001E128C" w:rsidRDefault="004A472A" w:rsidP="00584B7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4A472A" w:rsidRDefault="004A472A" w:rsidP="00584B7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4A472A" w:rsidRPr="001E128C" w:rsidRDefault="004A472A" w:rsidP="00584B71">
            <w:pPr>
              <w:keepNext/>
              <w:tabs>
                <w:tab w:val="left" w:pos="708"/>
              </w:tabs>
              <w:snapToGrid w:val="0"/>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200</w:t>
            </w:r>
          </w:p>
        </w:tc>
      </w:tr>
      <w:tr w:rsidR="004A472A" w:rsidRPr="001E128C" w:rsidTr="00584B71">
        <w:trPr>
          <w:trHeight w:val="1616"/>
        </w:trPr>
        <w:tc>
          <w:tcPr>
            <w:tcW w:w="0" w:type="auto"/>
          </w:tcPr>
          <w:p w:rsidR="004A472A" w:rsidRPr="001E128C" w:rsidRDefault="004A472A" w:rsidP="00584B71">
            <w:pPr>
              <w:keepNext/>
              <w:tabs>
                <w:tab w:val="left" w:pos="0"/>
              </w:tabs>
              <w:snapToGrid w:val="0"/>
              <w:rPr>
                <w:bCs/>
                <w:sz w:val="22"/>
                <w:szCs w:val="22"/>
              </w:rPr>
            </w:pPr>
            <w:r w:rsidRPr="001E128C">
              <w:rPr>
                <w:bCs/>
                <w:sz w:val="22"/>
                <w:szCs w:val="22"/>
              </w:rPr>
              <w:t>21-01-15</w:t>
            </w:r>
          </w:p>
        </w:tc>
        <w:tc>
          <w:tcPr>
            <w:tcW w:w="0" w:type="auto"/>
          </w:tcPr>
          <w:p w:rsidR="004A472A" w:rsidRPr="001E128C" w:rsidRDefault="004A472A" w:rsidP="00584B7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4A472A" w:rsidRDefault="004A472A" w:rsidP="00584B7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4A472A" w:rsidRPr="001E128C" w:rsidRDefault="004A472A" w:rsidP="00584B71">
            <w:pPr>
              <w:keepNext/>
              <w:tabs>
                <w:tab w:val="left" w:pos="708"/>
              </w:tabs>
              <w:jc w:val="both"/>
              <w:rPr>
                <w:sz w:val="22"/>
                <w:szCs w:val="22"/>
              </w:rPr>
            </w:pPr>
          </w:p>
        </w:tc>
        <w:tc>
          <w:tcPr>
            <w:tcW w:w="0" w:type="auto"/>
            <w:vAlign w:val="center"/>
          </w:tcPr>
          <w:p w:rsidR="004A472A" w:rsidRPr="001E128C" w:rsidRDefault="00797C99" w:rsidP="00584B71">
            <w:pPr>
              <w:jc w:val="center"/>
              <w:rPr>
                <w:color w:val="000000"/>
                <w:sz w:val="22"/>
                <w:szCs w:val="22"/>
              </w:rPr>
            </w:pPr>
            <w:r>
              <w:rPr>
                <w:color w:val="000000"/>
                <w:sz w:val="22"/>
                <w:szCs w:val="22"/>
              </w:rPr>
              <w:t>1100</w:t>
            </w:r>
          </w:p>
        </w:tc>
      </w:tr>
      <w:tr w:rsidR="004A472A" w:rsidRPr="001E128C" w:rsidTr="00584B71">
        <w:trPr>
          <w:trHeight w:val="1529"/>
        </w:trPr>
        <w:tc>
          <w:tcPr>
            <w:tcW w:w="0" w:type="auto"/>
          </w:tcPr>
          <w:p w:rsidR="004A472A" w:rsidRPr="001E128C" w:rsidRDefault="004A472A" w:rsidP="00584B71">
            <w:pPr>
              <w:keepNext/>
              <w:tabs>
                <w:tab w:val="left" w:pos="708"/>
              </w:tabs>
              <w:snapToGrid w:val="0"/>
              <w:ind w:left="64" w:hanging="64"/>
              <w:jc w:val="both"/>
              <w:rPr>
                <w:bCs/>
                <w:sz w:val="22"/>
                <w:szCs w:val="22"/>
              </w:rPr>
            </w:pPr>
            <w:r w:rsidRPr="001E128C">
              <w:rPr>
                <w:bCs/>
                <w:sz w:val="22"/>
                <w:szCs w:val="22"/>
              </w:rPr>
              <w:t>21-01-16</w:t>
            </w:r>
          </w:p>
        </w:tc>
        <w:tc>
          <w:tcPr>
            <w:tcW w:w="0" w:type="auto"/>
          </w:tcPr>
          <w:p w:rsidR="004A472A" w:rsidRPr="001E128C" w:rsidRDefault="004A472A" w:rsidP="00584B7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4A472A" w:rsidRPr="001E128C" w:rsidRDefault="004A472A" w:rsidP="00584B71">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4A472A" w:rsidRPr="001E128C" w:rsidRDefault="00797C99" w:rsidP="00584B71">
            <w:pPr>
              <w:jc w:val="center"/>
              <w:rPr>
                <w:color w:val="000000"/>
                <w:sz w:val="22"/>
                <w:szCs w:val="22"/>
              </w:rPr>
            </w:pPr>
            <w:r>
              <w:rPr>
                <w:color w:val="000000"/>
                <w:sz w:val="22"/>
                <w:szCs w:val="22"/>
              </w:rPr>
              <w:t>2000</w:t>
            </w:r>
          </w:p>
        </w:tc>
      </w:tr>
      <w:tr w:rsidR="004A472A" w:rsidRPr="001E128C" w:rsidTr="00584B71">
        <w:trPr>
          <w:trHeight w:val="1241"/>
        </w:trPr>
        <w:tc>
          <w:tcPr>
            <w:tcW w:w="0" w:type="auto"/>
          </w:tcPr>
          <w:p w:rsidR="004A472A" w:rsidRPr="001E128C" w:rsidRDefault="004A472A" w:rsidP="00584B71">
            <w:pPr>
              <w:keepNext/>
              <w:tabs>
                <w:tab w:val="left" w:pos="0"/>
              </w:tabs>
              <w:snapToGrid w:val="0"/>
              <w:rPr>
                <w:bCs/>
                <w:sz w:val="22"/>
                <w:szCs w:val="22"/>
              </w:rPr>
            </w:pPr>
            <w:r w:rsidRPr="001E128C">
              <w:rPr>
                <w:bCs/>
                <w:sz w:val="22"/>
                <w:szCs w:val="22"/>
              </w:rPr>
              <w:t>21-01-17</w:t>
            </w:r>
          </w:p>
        </w:tc>
        <w:tc>
          <w:tcPr>
            <w:tcW w:w="0" w:type="auto"/>
          </w:tcPr>
          <w:p w:rsidR="004A472A" w:rsidRPr="001E128C" w:rsidRDefault="004A472A" w:rsidP="00584B71">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4A472A" w:rsidRPr="001E128C" w:rsidRDefault="004A472A" w:rsidP="00584B7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4A472A" w:rsidRPr="001E128C" w:rsidRDefault="00797C99" w:rsidP="00584B71">
            <w:pPr>
              <w:jc w:val="center"/>
              <w:rPr>
                <w:color w:val="000000"/>
                <w:sz w:val="22"/>
                <w:szCs w:val="22"/>
              </w:rPr>
            </w:pPr>
            <w:r>
              <w:rPr>
                <w:color w:val="000000"/>
                <w:sz w:val="22"/>
                <w:szCs w:val="22"/>
              </w:rPr>
              <w:t>1100</w:t>
            </w:r>
          </w:p>
        </w:tc>
      </w:tr>
      <w:tr w:rsidR="004A472A" w:rsidRPr="001E128C" w:rsidTr="00584B71">
        <w:trPr>
          <w:trHeight w:val="638"/>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21-01-18</w:t>
            </w:r>
          </w:p>
        </w:tc>
        <w:tc>
          <w:tcPr>
            <w:tcW w:w="0" w:type="auto"/>
          </w:tcPr>
          <w:p w:rsidR="004A472A" w:rsidRPr="001E128C" w:rsidRDefault="004A472A" w:rsidP="00584B7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4A472A" w:rsidRPr="001E128C" w:rsidRDefault="004A472A" w:rsidP="00584B7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4A472A" w:rsidRPr="001E128C" w:rsidRDefault="00797C99" w:rsidP="00584B71">
            <w:pPr>
              <w:jc w:val="center"/>
              <w:rPr>
                <w:color w:val="000000"/>
                <w:sz w:val="22"/>
                <w:szCs w:val="22"/>
              </w:rPr>
            </w:pPr>
            <w:r>
              <w:rPr>
                <w:color w:val="000000"/>
                <w:sz w:val="22"/>
                <w:szCs w:val="22"/>
              </w:rPr>
              <w:t>1300</w:t>
            </w:r>
          </w:p>
        </w:tc>
      </w:tr>
      <w:tr w:rsidR="004A472A" w:rsidRPr="001E128C" w:rsidTr="00584B71">
        <w:trPr>
          <w:trHeight w:val="837"/>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21-01-19</w:t>
            </w:r>
          </w:p>
        </w:tc>
        <w:tc>
          <w:tcPr>
            <w:tcW w:w="0" w:type="auto"/>
          </w:tcPr>
          <w:p w:rsidR="004A472A" w:rsidRPr="001E128C" w:rsidRDefault="004A472A" w:rsidP="00584B7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4A472A" w:rsidRPr="001E128C" w:rsidRDefault="004A472A" w:rsidP="00584B7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4A472A" w:rsidRPr="001E128C" w:rsidRDefault="00797C99" w:rsidP="00584B71">
            <w:pPr>
              <w:jc w:val="center"/>
              <w:rPr>
                <w:color w:val="000000"/>
                <w:sz w:val="22"/>
                <w:szCs w:val="22"/>
              </w:rPr>
            </w:pPr>
            <w:r>
              <w:rPr>
                <w:color w:val="000000"/>
                <w:sz w:val="22"/>
                <w:szCs w:val="22"/>
              </w:rPr>
              <w:t>1500</w:t>
            </w:r>
          </w:p>
        </w:tc>
      </w:tr>
      <w:tr w:rsidR="004A472A" w:rsidRPr="001E128C" w:rsidTr="00584B71">
        <w:trPr>
          <w:trHeight w:val="1692"/>
        </w:trPr>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21-01-20</w:t>
            </w:r>
          </w:p>
        </w:tc>
        <w:tc>
          <w:tcPr>
            <w:tcW w:w="0" w:type="auto"/>
          </w:tcPr>
          <w:p w:rsidR="004A472A" w:rsidRPr="001E128C" w:rsidRDefault="004A472A" w:rsidP="00584B7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4A472A" w:rsidRPr="001E128C" w:rsidRDefault="00EF1353" w:rsidP="00392477">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4A472A" w:rsidRPr="001E128C" w:rsidRDefault="00797C99" w:rsidP="00584B71">
            <w:pPr>
              <w:jc w:val="center"/>
              <w:rPr>
                <w:color w:val="000000"/>
                <w:sz w:val="22"/>
                <w:szCs w:val="22"/>
              </w:rPr>
            </w:pPr>
            <w:r>
              <w:rPr>
                <w:color w:val="000000"/>
                <w:sz w:val="22"/>
                <w:szCs w:val="22"/>
              </w:rPr>
              <w:t>29500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EF1353" w:rsidRPr="001E128C" w:rsidRDefault="00EF1353" w:rsidP="00107837">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EF1353" w:rsidRPr="001E128C" w:rsidRDefault="00EF1353" w:rsidP="00584B71">
            <w:pPr>
              <w:keepNext/>
              <w:tabs>
                <w:tab w:val="left" w:pos="708"/>
              </w:tabs>
              <w:snapToGrid w:val="0"/>
              <w:jc w:val="both"/>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EF1353" w:rsidRPr="001E128C" w:rsidRDefault="00797C99" w:rsidP="00584B71">
            <w:pPr>
              <w:jc w:val="center"/>
              <w:rPr>
                <w:color w:val="000000"/>
                <w:sz w:val="22"/>
                <w:szCs w:val="22"/>
              </w:rPr>
            </w:pPr>
            <w:r>
              <w:rPr>
                <w:color w:val="000000"/>
                <w:sz w:val="22"/>
                <w:szCs w:val="22"/>
              </w:rPr>
              <w:t>4200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 xml:space="preserve">21-01-22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EF1353" w:rsidRPr="001E128C" w:rsidRDefault="00EF1353" w:rsidP="00584B7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584B7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797C99" w:rsidP="00584B71">
            <w:pPr>
              <w:jc w:val="center"/>
              <w:rPr>
                <w:color w:val="000000"/>
                <w:sz w:val="22"/>
                <w:szCs w:val="22"/>
              </w:rPr>
            </w:pPr>
            <w:r>
              <w:rPr>
                <w:color w:val="000000"/>
                <w:sz w:val="22"/>
                <w:szCs w:val="22"/>
              </w:rPr>
              <w:t>200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lastRenderedPageBreak/>
              <w:t xml:space="preserve">21-01-23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EF1353" w:rsidRPr="001E128C" w:rsidRDefault="00EF1353" w:rsidP="00584B7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EF1353" w:rsidRPr="001E128C" w:rsidRDefault="00EF1353" w:rsidP="00584B7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EF1353" w:rsidRPr="001E128C" w:rsidRDefault="00797C99" w:rsidP="00584B71">
            <w:pPr>
              <w:jc w:val="center"/>
              <w:rPr>
                <w:color w:val="000000"/>
                <w:sz w:val="22"/>
                <w:szCs w:val="22"/>
              </w:rPr>
            </w:pPr>
            <w:r>
              <w:rPr>
                <w:color w:val="000000"/>
                <w:sz w:val="22"/>
                <w:szCs w:val="22"/>
              </w:rPr>
              <w:t>80</w:t>
            </w:r>
          </w:p>
        </w:tc>
      </w:tr>
      <w:tr w:rsidR="00EF1353" w:rsidRPr="001E128C" w:rsidTr="00584B71">
        <w:trPr>
          <w:trHeight w:val="1006"/>
        </w:trPr>
        <w:tc>
          <w:tcPr>
            <w:tcW w:w="0" w:type="auto"/>
          </w:tcPr>
          <w:p w:rsidR="00EF1353" w:rsidRPr="001E128C" w:rsidRDefault="00EF1353" w:rsidP="00584B71">
            <w:pPr>
              <w:keepNext/>
              <w:tabs>
                <w:tab w:val="left" w:pos="0"/>
              </w:tabs>
              <w:snapToGrid w:val="0"/>
              <w:jc w:val="both"/>
              <w:rPr>
                <w:bCs/>
                <w:sz w:val="22"/>
                <w:szCs w:val="22"/>
              </w:rPr>
            </w:pPr>
            <w:r w:rsidRPr="001E128C">
              <w:rPr>
                <w:bCs/>
                <w:sz w:val="22"/>
                <w:szCs w:val="22"/>
              </w:rPr>
              <w:t xml:space="preserve">21-01-24 </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EF1353" w:rsidRPr="001E128C" w:rsidRDefault="00EF1353" w:rsidP="00584B7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EF1353" w:rsidRDefault="00EF1353" w:rsidP="00584B7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EF1353" w:rsidRPr="001E128C" w:rsidRDefault="00EF1353" w:rsidP="00584B71">
            <w:pPr>
              <w:keepNext/>
              <w:tabs>
                <w:tab w:val="left" w:pos="708"/>
              </w:tabs>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900</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21-01-27</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600</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21-01-29</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EF1353" w:rsidRDefault="00EF1353" w:rsidP="00584B7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600</w:t>
            </w:r>
          </w:p>
        </w:tc>
      </w:tr>
      <w:tr w:rsidR="00EF1353" w:rsidRPr="001E128C" w:rsidTr="00584B71">
        <w:trPr>
          <w:trHeight w:val="867"/>
        </w:trPr>
        <w:tc>
          <w:tcPr>
            <w:tcW w:w="0" w:type="auto"/>
          </w:tcPr>
          <w:p w:rsidR="00EF1353" w:rsidRPr="001E128C" w:rsidRDefault="00EF1353" w:rsidP="00584B71">
            <w:pPr>
              <w:keepNext/>
              <w:tabs>
                <w:tab w:val="left" w:pos="708"/>
              </w:tabs>
              <w:snapToGrid w:val="0"/>
              <w:rPr>
                <w:sz w:val="22"/>
                <w:szCs w:val="22"/>
              </w:rPr>
            </w:pPr>
            <w:r w:rsidRPr="001E128C">
              <w:rPr>
                <w:sz w:val="22"/>
                <w:szCs w:val="22"/>
              </w:rPr>
              <w:t>21-01-30</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300</w:t>
            </w:r>
          </w:p>
        </w:tc>
      </w:tr>
      <w:tr w:rsidR="00EF1353" w:rsidRPr="001E128C" w:rsidTr="00584B71">
        <w:trPr>
          <w:trHeight w:val="867"/>
        </w:trPr>
        <w:tc>
          <w:tcPr>
            <w:tcW w:w="0" w:type="auto"/>
          </w:tcPr>
          <w:p w:rsidR="00EF1353" w:rsidRPr="001E128C" w:rsidRDefault="00EF1353" w:rsidP="00584B71">
            <w:pPr>
              <w:keepNext/>
              <w:snapToGrid w:val="0"/>
              <w:jc w:val="both"/>
              <w:rPr>
                <w:bCs/>
                <w:sz w:val="22"/>
                <w:szCs w:val="22"/>
              </w:rPr>
            </w:pPr>
            <w:r w:rsidRPr="001E128C">
              <w:rPr>
                <w:bCs/>
                <w:sz w:val="22"/>
                <w:szCs w:val="22"/>
              </w:rPr>
              <w:t>21-01-31</w:t>
            </w:r>
          </w:p>
        </w:tc>
        <w:tc>
          <w:tcPr>
            <w:tcW w:w="0" w:type="auto"/>
          </w:tcPr>
          <w:p w:rsidR="00EF1353" w:rsidRPr="001E128C" w:rsidRDefault="00EF1353" w:rsidP="00584B7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EF1353" w:rsidRPr="001E128C" w:rsidRDefault="00EF1353" w:rsidP="00584B71">
            <w:pPr>
              <w:keepNext/>
              <w:rPr>
                <w:bCs/>
                <w:sz w:val="22"/>
                <w:szCs w:val="22"/>
              </w:rPr>
            </w:pPr>
          </w:p>
        </w:tc>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EF1353" w:rsidRPr="001E128C" w:rsidRDefault="00797C99" w:rsidP="00584B71">
            <w:pPr>
              <w:jc w:val="center"/>
              <w:rPr>
                <w:color w:val="000000"/>
                <w:sz w:val="22"/>
                <w:szCs w:val="22"/>
              </w:rPr>
            </w:pPr>
            <w:r>
              <w:rPr>
                <w:color w:val="000000"/>
                <w:sz w:val="22"/>
                <w:szCs w:val="22"/>
              </w:rPr>
              <w:t>1500</w:t>
            </w:r>
          </w:p>
        </w:tc>
      </w:tr>
      <w:tr w:rsidR="00EF1353" w:rsidRPr="001E128C" w:rsidTr="00584B71">
        <w:trPr>
          <w:trHeight w:val="712"/>
        </w:trPr>
        <w:tc>
          <w:tcPr>
            <w:tcW w:w="0" w:type="auto"/>
          </w:tcPr>
          <w:p w:rsidR="00EF1353" w:rsidRPr="001E128C" w:rsidRDefault="00EF1353" w:rsidP="00584B71">
            <w:pPr>
              <w:keepNext/>
              <w:tabs>
                <w:tab w:val="left" w:pos="708"/>
              </w:tabs>
              <w:snapToGrid w:val="0"/>
              <w:jc w:val="both"/>
              <w:rPr>
                <w:sz w:val="22"/>
                <w:szCs w:val="22"/>
              </w:rPr>
            </w:pPr>
            <w:r w:rsidRPr="001E128C">
              <w:rPr>
                <w:sz w:val="22"/>
                <w:szCs w:val="22"/>
              </w:rPr>
              <w:t>21-01-32</w:t>
            </w:r>
          </w:p>
        </w:tc>
        <w:tc>
          <w:tcPr>
            <w:tcW w:w="0" w:type="auto"/>
          </w:tcPr>
          <w:p w:rsidR="00EF1353" w:rsidRPr="001E128C" w:rsidRDefault="00EF1353" w:rsidP="00584B7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150</w:t>
            </w:r>
          </w:p>
        </w:tc>
      </w:tr>
      <w:tr w:rsidR="00EF1353" w:rsidRPr="001E128C" w:rsidTr="00584B71">
        <w:trPr>
          <w:trHeight w:val="712"/>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21-01-33</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EF1353" w:rsidRPr="001E128C" w:rsidRDefault="00EF1353" w:rsidP="00584B7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EF1353" w:rsidRPr="001E128C" w:rsidRDefault="00797C99" w:rsidP="00584B71">
            <w:pPr>
              <w:jc w:val="center"/>
              <w:rPr>
                <w:color w:val="000000"/>
                <w:sz w:val="22"/>
                <w:szCs w:val="22"/>
              </w:rPr>
            </w:pPr>
            <w:r>
              <w:rPr>
                <w:color w:val="000000"/>
                <w:sz w:val="22"/>
                <w:szCs w:val="22"/>
              </w:rPr>
              <w:t>110</w:t>
            </w:r>
          </w:p>
        </w:tc>
      </w:tr>
      <w:tr w:rsidR="00EF1353" w:rsidRPr="001E128C" w:rsidTr="00584B71">
        <w:trPr>
          <w:trHeight w:val="1534"/>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lastRenderedPageBreak/>
              <w:t>21-01-34</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EF1353" w:rsidRDefault="00EF1353" w:rsidP="00584B7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EF1353" w:rsidRPr="001E128C" w:rsidRDefault="00EF1353" w:rsidP="00584B71">
            <w:pPr>
              <w:keepNext/>
              <w:tabs>
                <w:tab w:val="left" w:pos="708"/>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24200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21-01-35</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EF1353" w:rsidRDefault="00EF1353" w:rsidP="00584B71">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EF1353" w:rsidRPr="001E128C" w:rsidRDefault="00EF1353" w:rsidP="00584B71">
            <w:pPr>
              <w:keepNext/>
              <w:tabs>
                <w:tab w:val="left" w:pos="0"/>
              </w:tabs>
              <w:snapToGrid w:val="0"/>
              <w:jc w:val="both"/>
              <w:rPr>
                <w:bCs/>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350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21-01-36</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EF1353" w:rsidRDefault="00EF1353" w:rsidP="00584B7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EF1353" w:rsidRPr="001E128C" w:rsidRDefault="00EF1353" w:rsidP="00584B71">
            <w:pPr>
              <w:keepNext/>
              <w:tabs>
                <w:tab w:val="left" w:pos="0"/>
              </w:tabs>
              <w:snapToGrid w:val="0"/>
              <w:jc w:val="both"/>
              <w:rPr>
                <w:bCs/>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1000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21-01-37</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EF1353" w:rsidRPr="001E128C" w:rsidRDefault="00EF1353" w:rsidP="00584B7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EF1353" w:rsidRPr="001E128C" w:rsidRDefault="00EF1353" w:rsidP="00584B71">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EF1353" w:rsidRPr="001E128C" w:rsidRDefault="00797C99" w:rsidP="00584B71">
            <w:pPr>
              <w:jc w:val="center"/>
              <w:rPr>
                <w:color w:val="000000"/>
                <w:sz w:val="22"/>
                <w:szCs w:val="22"/>
              </w:rPr>
            </w:pPr>
            <w:r>
              <w:rPr>
                <w:color w:val="000000"/>
                <w:sz w:val="22"/>
                <w:szCs w:val="22"/>
              </w:rPr>
              <w:t>450</w:t>
            </w:r>
          </w:p>
        </w:tc>
      </w:tr>
      <w:tr w:rsidR="00EF1353" w:rsidRPr="001E128C" w:rsidTr="00584B71">
        <w:trPr>
          <w:trHeight w:val="1518"/>
        </w:trPr>
        <w:tc>
          <w:tcPr>
            <w:tcW w:w="0" w:type="auto"/>
          </w:tcPr>
          <w:p w:rsidR="00EF1353" w:rsidRPr="001E128C" w:rsidRDefault="00EF1353" w:rsidP="00584B71">
            <w:pPr>
              <w:keepNext/>
              <w:tabs>
                <w:tab w:val="left" w:pos="0"/>
              </w:tabs>
              <w:snapToGrid w:val="0"/>
              <w:rPr>
                <w:bCs/>
                <w:sz w:val="22"/>
                <w:szCs w:val="22"/>
              </w:rPr>
            </w:pPr>
            <w:r w:rsidRPr="001E128C">
              <w:rPr>
                <w:sz w:val="22"/>
                <w:szCs w:val="22"/>
              </w:rPr>
              <w:t>21-01-39</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EF1353" w:rsidRPr="001E128C" w:rsidRDefault="00EF1353" w:rsidP="00584B71">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EF1353" w:rsidRPr="001E128C" w:rsidRDefault="00EF1353" w:rsidP="00584B71">
            <w:pPr>
              <w:keepNext/>
              <w:tabs>
                <w:tab w:val="left" w:pos="0"/>
              </w:tabs>
              <w:snapToGrid w:val="0"/>
              <w:jc w:val="both"/>
              <w:rPr>
                <w:sz w:val="22"/>
                <w:szCs w:val="22"/>
              </w:rPr>
            </w:pPr>
          </w:p>
        </w:tc>
        <w:tc>
          <w:tcPr>
            <w:tcW w:w="0" w:type="auto"/>
            <w:vAlign w:val="center"/>
          </w:tcPr>
          <w:p w:rsidR="00EF1353" w:rsidRPr="001E128C" w:rsidRDefault="00797C99" w:rsidP="00584B71">
            <w:pPr>
              <w:jc w:val="center"/>
              <w:rPr>
                <w:color w:val="000000"/>
                <w:sz w:val="22"/>
                <w:szCs w:val="22"/>
              </w:rPr>
            </w:pPr>
            <w:r>
              <w:rPr>
                <w:color w:val="000000"/>
                <w:sz w:val="22"/>
                <w:szCs w:val="22"/>
              </w:rPr>
              <w:t>2200</w:t>
            </w:r>
          </w:p>
        </w:tc>
      </w:tr>
      <w:tr w:rsidR="00EF1353" w:rsidRPr="001E128C" w:rsidTr="00584B71">
        <w:trPr>
          <w:trHeight w:val="1836"/>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21-01-41</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EF1353" w:rsidRPr="001E128C" w:rsidRDefault="00EF1353" w:rsidP="00584B71">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EF1353" w:rsidRPr="001E128C" w:rsidRDefault="00797C99" w:rsidP="00584B71">
            <w:pPr>
              <w:jc w:val="center"/>
              <w:rPr>
                <w:color w:val="000000"/>
                <w:sz w:val="22"/>
                <w:szCs w:val="22"/>
              </w:rPr>
            </w:pPr>
            <w:r>
              <w:rPr>
                <w:color w:val="000000"/>
                <w:sz w:val="22"/>
                <w:szCs w:val="22"/>
              </w:rPr>
              <w:t>1200</w:t>
            </w:r>
          </w:p>
        </w:tc>
      </w:tr>
      <w:tr w:rsidR="00EF1353" w:rsidRPr="001E128C" w:rsidTr="00584B71">
        <w:trPr>
          <w:trHeight w:val="1124"/>
        </w:trPr>
        <w:tc>
          <w:tcPr>
            <w:tcW w:w="0" w:type="auto"/>
          </w:tcPr>
          <w:p w:rsidR="00EF1353" w:rsidRPr="001E128C" w:rsidRDefault="00EF1353" w:rsidP="00584B71">
            <w:pPr>
              <w:keepNext/>
              <w:tabs>
                <w:tab w:val="left" w:pos="0"/>
              </w:tabs>
              <w:snapToGrid w:val="0"/>
              <w:rPr>
                <w:bCs/>
                <w:sz w:val="22"/>
                <w:szCs w:val="22"/>
              </w:rPr>
            </w:pPr>
            <w:r w:rsidRPr="001E128C">
              <w:rPr>
                <w:bCs/>
                <w:sz w:val="22"/>
                <w:szCs w:val="22"/>
              </w:rPr>
              <w:t>21-01-42</w:t>
            </w:r>
          </w:p>
        </w:tc>
        <w:tc>
          <w:tcPr>
            <w:tcW w:w="0" w:type="auto"/>
          </w:tcPr>
          <w:p w:rsidR="00EF1353" w:rsidRPr="001E128C" w:rsidRDefault="00EF1353" w:rsidP="00584B71">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EF1353" w:rsidRPr="001E128C" w:rsidRDefault="00EF1353" w:rsidP="00584B71">
            <w:pPr>
              <w:keepNext/>
              <w:tabs>
                <w:tab w:val="left" w:pos="0"/>
              </w:tabs>
              <w:snapToGrid w:val="0"/>
              <w:jc w:val="both"/>
              <w:rPr>
                <w:bCs/>
                <w:sz w:val="22"/>
                <w:szCs w:val="22"/>
              </w:rPr>
            </w:pPr>
            <w:r w:rsidRPr="0011112A">
              <w:rPr>
                <w:rStyle w:val="a3"/>
                <w:i w:val="0"/>
                <w:sz w:val="22"/>
                <w:szCs w:val="22"/>
              </w:rPr>
              <w:t xml:space="preserve">Тампон для </w:t>
            </w:r>
            <w:proofErr w:type="spellStart"/>
            <w:r w:rsidRPr="0011112A">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EF1353" w:rsidRPr="001E128C" w:rsidRDefault="00797C99" w:rsidP="00584B71">
            <w:pPr>
              <w:jc w:val="center"/>
              <w:rPr>
                <w:color w:val="000000"/>
                <w:sz w:val="22"/>
                <w:szCs w:val="22"/>
              </w:rPr>
            </w:pPr>
            <w:r>
              <w:rPr>
                <w:color w:val="000000"/>
                <w:sz w:val="22"/>
                <w:szCs w:val="22"/>
              </w:rPr>
              <w:t>1600</w:t>
            </w:r>
          </w:p>
        </w:tc>
      </w:tr>
    </w:tbl>
    <w:p w:rsidR="004A472A" w:rsidRDefault="004A472A" w:rsidP="004618F1">
      <w:pPr>
        <w:jc w:val="both"/>
        <w:rPr>
          <w:sz w:val="18"/>
          <w:szCs w:val="18"/>
        </w:rPr>
      </w:pPr>
      <w:bookmarkStart w:id="0" w:name="_GoBack"/>
      <w:bookmarkEnd w:id="0"/>
    </w:p>
    <w:p w:rsidR="004618F1" w:rsidRPr="004E7C70" w:rsidRDefault="004618F1" w:rsidP="004618F1">
      <w:pPr>
        <w:jc w:val="both"/>
        <w:rPr>
          <w:sz w:val="18"/>
          <w:szCs w:val="18"/>
        </w:rPr>
      </w:pPr>
      <w:r w:rsidRPr="00887F9D">
        <w:rPr>
          <w:sz w:val="18"/>
          <w:szCs w:val="18"/>
        </w:rPr>
        <w:t xml:space="preserve">*Приказ от </w:t>
      </w:r>
      <w:r w:rsidR="004A472A">
        <w:rPr>
          <w:sz w:val="18"/>
          <w:szCs w:val="18"/>
        </w:rPr>
        <w:t>13</w:t>
      </w:r>
      <w:r w:rsidRPr="00887F9D">
        <w:rPr>
          <w:sz w:val="18"/>
          <w:szCs w:val="18"/>
        </w:rPr>
        <w:t>.0</w:t>
      </w:r>
      <w:r w:rsidR="004A472A">
        <w:rPr>
          <w:sz w:val="18"/>
          <w:szCs w:val="18"/>
        </w:rPr>
        <w:t>2</w:t>
      </w:r>
      <w:r w:rsidRPr="00887F9D">
        <w:rPr>
          <w:sz w:val="18"/>
          <w:szCs w:val="18"/>
        </w:rPr>
        <w:t>.201</w:t>
      </w:r>
      <w:r w:rsidR="004A472A">
        <w:rPr>
          <w:sz w:val="18"/>
          <w:szCs w:val="18"/>
        </w:rPr>
        <w:t>8</w:t>
      </w:r>
      <w:r w:rsidRPr="00887F9D">
        <w:rPr>
          <w:sz w:val="18"/>
          <w:szCs w:val="18"/>
        </w:rPr>
        <w:t>г. №</w:t>
      </w:r>
      <w:r w:rsidR="004A472A">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797C99">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0B5981"/>
    <w:rsid w:val="00103023"/>
    <w:rsid w:val="00107837"/>
    <w:rsid w:val="0011112A"/>
    <w:rsid w:val="00150473"/>
    <w:rsid w:val="001A2273"/>
    <w:rsid w:val="001B38CF"/>
    <w:rsid w:val="001B481F"/>
    <w:rsid w:val="001E3A60"/>
    <w:rsid w:val="002646BC"/>
    <w:rsid w:val="002A25D2"/>
    <w:rsid w:val="00310A72"/>
    <w:rsid w:val="003364A5"/>
    <w:rsid w:val="00336EF8"/>
    <w:rsid w:val="00360287"/>
    <w:rsid w:val="00365F8C"/>
    <w:rsid w:val="00366981"/>
    <w:rsid w:val="00371C87"/>
    <w:rsid w:val="00392477"/>
    <w:rsid w:val="003A0E03"/>
    <w:rsid w:val="003D6CBC"/>
    <w:rsid w:val="004618F1"/>
    <w:rsid w:val="004638FE"/>
    <w:rsid w:val="004A472A"/>
    <w:rsid w:val="004C784D"/>
    <w:rsid w:val="004E39D8"/>
    <w:rsid w:val="004F4F5F"/>
    <w:rsid w:val="00503B51"/>
    <w:rsid w:val="00584B71"/>
    <w:rsid w:val="00595705"/>
    <w:rsid w:val="005F570E"/>
    <w:rsid w:val="00632FD6"/>
    <w:rsid w:val="00687338"/>
    <w:rsid w:val="006D6C44"/>
    <w:rsid w:val="006E4867"/>
    <w:rsid w:val="006F17D2"/>
    <w:rsid w:val="00785F68"/>
    <w:rsid w:val="0079669B"/>
    <w:rsid w:val="00796BE4"/>
    <w:rsid w:val="00797C99"/>
    <w:rsid w:val="007F244B"/>
    <w:rsid w:val="00817757"/>
    <w:rsid w:val="008268A2"/>
    <w:rsid w:val="00876FFE"/>
    <w:rsid w:val="008D40E4"/>
    <w:rsid w:val="008E3560"/>
    <w:rsid w:val="0096434B"/>
    <w:rsid w:val="009C21F9"/>
    <w:rsid w:val="009D376E"/>
    <w:rsid w:val="009D54AC"/>
    <w:rsid w:val="00AB1717"/>
    <w:rsid w:val="00AB3AB4"/>
    <w:rsid w:val="00B03077"/>
    <w:rsid w:val="00B31DAD"/>
    <w:rsid w:val="00B56C30"/>
    <w:rsid w:val="00BD053C"/>
    <w:rsid w:val="00BE014B"/>
    <w:rsid w:val="00BF26E2"/>
    <w:rsid w:val="00BF293B"/>
    <w:rsid w:val="00C35890"/>
    <w:rsid w:val="00C63F76"/>
    <w:rsid w:val="00D206E3"/>
    <w:rsid w:val="00D33B1E"/>
    <w:rsid w:val="00DB5599"/>
    <w:rsid w:val="00DC2EE6"/>
    <w:rsid w:val="00E36A21"/>
    <w:rsid w:val="00E94D46"/>
    <w:rsid w:val="00E9700D"/>
    <w:rsid w:val="00EE4370"/>
    <w:rsid w:val="00EF1353"/>
    <w:rsid w:val="00F15997"/>
    <w:rsid w:val="00F26F7C"/>
    <w:rsid w:val="00F44408"/>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6EB7-89DD-4C37-87DA-F09E43DD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Шраер Ольга Владимировна</cp:lastModifiedBy>
  <cp:revision>34</cp:revision>
  <cp:lastPrinted>2019-04-19T14:11:00Z</cp:lastPrinted>
  <dcterms:created xsi:type="dcterms:W3CDTF">2016-07-27T05:10:00Z</dcterms:created>
  <dcterms:modified xsi:type="dcterms:W3CDTF">2019-08-09T08:17:00Z</dcterms:modified>
</cp:coreProperties>
</file>